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E59" w:rsidRDefault="00B47F9D" w:rsidP="00FC5C9E">
      <w:r>
        <w:t>To:</w:t>
      </w:r>
      <w:r>
        <w:tab/>
      </w:r>
      <w:r>
        <w:tab/>
        <w:t>Randy Absolon</w:t>
      </w:r>
    </w:p>
    <w:p w:rsidR="00B47F9D" w:rsidRDefault="00B47F9D">
      <w:r>
        <w:t>From:</w:t>
      </w:r>
      <w:r>
        <w:tab/>
      </w:r>
      <w:r>
        <w:tab/>
        <w:t>Benjamin Sandford</w:t>
      </w:r>
    </w:p>
    <w:p w:rsidR="00B47F9D" w:rsidRDefault="00B47F9D">
      <w:r>
        <w:t>Date:</w:t>
      </w:r>
      <w:r>
        <w:tab/>
      </w:r>
      <w:r>
        <w:tab/>
      </w:r>
      <w:r w:rsidR="00E37951">
        <w:t>13</w:t>
      </w:r>
      <w:r w:rsidR="00C1387E">
        <w:t xml:space="preserve"> August</w:t>
      </w:r>
      <w:r>
        <w:t>, 2015</w:t>
      </w:r>
    </w:p>
    <w:p w:rsidR="00B47F9D" w:rsidRDefault="00B47F9D" w:rsidP="00B47F9D">
      <w:pPr>
        <w:ind w:left="1440" w:hanging="1440"/>
      </w:pPr>
      <w:r>
        <w:t>Subject:</w:t>
      </w:r>
      <w:r>
        <w:tab/>
        <w:t xml:space="preserve">Preliminary analyses for project: </w:t>
      </w:r>
      <w:r w:rsidRPr="00B47F9D">
        <w:t>B2 FGE Improvements, Post Construction Gatewell Improvement Testing</w:t>
      </w:r>
      <w:r w:rsidR="00E23CDD">
        <w:t xml:space="preserve"> (update from 23</w:t>
      </w:r>
      <w:r w:rsidR="00C1387E">
        <w:t xml:space="preserve"> and 30</w:t>
      </w:r>
      <w:r w:rsidR="00E23CDD">
        <w:t xml:space="preserve"> July </w:t>
      </w:r>
      <w:r w:rsidR="00E37951">
        <w:t xml:space="preserve">and 3 August </w:t>
      </w:r>
      <w:r w:rsidR="00E23CDD">
        <w:t>due to travel time update</w:t>
      </w:r>
      <w:r w:rsidR="00E37951">
        <w:t>,</w:t>
      </w:r>
      <w:r w:rsidR="00C1387E">
        <w:t xml:space="preserve"> adding mortality proportion of observed sample</w:t>
      </w:r>
      <w:r w:rsidR="00E37951">
        <w:t>, and some name changes</w:t>
      </w:r>
    </w:p>
    <w:p w:rsidR="00B47F9D" w:rsidRDefault="00B47F9D" w:rsidP="00B47F9D">
      <w:pPr>
        <w:ind w:left="1440" w:hanging="1440"/>
      </w:pPr>
    </w:p>
    <w:p w:rsidR="00B47F9D" w:rsidRDefault="00B47F9D" w:rsidP="00B47F9D">
      <w:r>
        <w:t>Data</w:t>
      </w:r>
    </w:p>
    <w:p w:rsidR="00B47F9D" w:rsidRDefault="00B47F9D" w:rsidP="00B47F9D"/>
    <w:p w:rsidR="00B47F9D" w:rsidRDefault="00B47F9D" w:rsidP="00B47F9D">
      <w:r>
        <w:t xml:space="preserve">Subyearling Chinook salmon were PIT-tagged and released between 1 April and 29 May 2015 into gatewell slots 14A , 15A, and 15C.  </w:t>
      </w:r>
      <w:r w:rsidR="00957A33">
        <w:t>A portion of the t</w:t>
      </w:r>
      <w:r>
        <w:t>agged fish were detected at the Second Powerhouse Juvenile Fish Monitoring Facility (JFMF)</w:t>
      </w:r>
      <w:r w:rsidR="00957A33">
        <w:t xml:space="preserve"> and a portion were diverted into sample tanks using the Sort-by-Code system.  Diverted fish were examined for injury (rare) and mortality.  Date and time of first detection at the JFMF was noted for detected fish.  Useful metrics were </w:t>
      </w:r>
      <w:r w:rsidR="0006121A">
        <w:t xml:space="preserve">defined and </w:t>
      </w:r>
      <w:r w:rsidR="00957A33">
        <w:t>calculated as follows:</w:t>
      </w:r>
    </w:p>
    <w:p w:rsidR="00B47F9D" w:rsidRDefault="00B47F9D" w:rsidP="000D1C2F">
      <w:pPr>
        <w:jc w:val="right"/>
      </w:pPr>
    </w:p>
    <w:p w:rsidR="00957A33" w:rsidRDefault="0006121A" w:rsidP="00EF6F76">
      <w:pPr>
        <w:ind w:left="1440" w:hanging="1440"/>
      </w:pPr>
      <w:r>
        <w:t>ObsProp</w:t>
      </w:r>
      <w:r w:rsidR="00EF6F76">
        <w:t xml:space="preserve"> </w:t>
      </w:r>
      <w:r>
        <w:t xml:space="preserve"> =</w:t>
      </w:r>
      <w:r w:rsidR="00EF6F76">
        <w:tab/>
      </w:r>
      <w:r>
        <w:t>Observed proportion of each release that were subsequently detected somewhere in the PIT-tag system of the JFMF</w:t>
      </w:r>
    </w:p>
    <w:p w:rsidR="0006121A" w:rsidRDefault="00EF6F76" w:rsidP="00EF6F76">
      <w:pPr>
        <w:ind w:left="1440" w:hanging="1440"/>
      </w:pPr>
      <w:r>
        <w:t>RecapProp =</w:t>
      </w:r>
      <w:r>
        <w:tab/>
        <w:t>Observed proportion of JFMF-detections that were recaptured in sample tanks and examined for injury/mortality</w:t>
      </w:r>
    </w:p>
    <w:p w:rsidR="00E37951" w:rsidRDefault="00E37951" w:rsidP="00EF6F76">
      <w:pPr>
        <w:ind w:left="1440" w:hanging="1440"/>
      </w:pPr>
      <w:r>
        <w:t>ObsMortProp = Proportion of ObsMort to Total in recapture sample</w:t>
      </w:r>
    </w:p>
    <w:p w:rsidR="00EF6F76" w:rsidRDefault="00E37951" w:rsidP="00EF6F76">
      <w:pPr>
        <w:ind w:left="1440" w:hanging="1440"/>
      </w:pPr>
      <w:r>
        <w:t>MaxMortProp</w:t>
      </w:r>
      <w:r w:rsidR="00B91A45">
        <w:t xml:space="preserve"> </w:t>
      </w:r>
      <w:r w:rsidR="00EF6F76">
        <w:t xml:space="preserve"> =</w:t>
      </w:r>
      <w:r w:rsidR="00B91A45">
        <w:t xml:space="preserve">  </w:t>
      </w:r>
      <w:r w:rsidR="00EF6F76">
        <w:t>Estimated mortality proportion of released fish =</w:t>
      </w:r>
    </w:p>
    <w:p w:rsidR="00EF6F76" w:rsidRDefault="00EF6F76" w:rsidP="00B91A45">
      <w:pPr>
        <w:ind w:left="1440"/>
      </w:pPr>
      <w:r>
        <w:t>ObsMort + Non</w:t>
      </w:r>
      <w:r w:rsidR="00D2175D">
        <w:t>Recap</w:t>
      </w:r>
      <w:r>
        <w:t>Obs*ObsMortProp + NonObs</w:t>
      </w:r>
      <w:r w:rsidR="00D2175D">
        <w:t>,</w:t>
      </w:r>
    </w:p>
    <w:p w:rsidR="00D2175D" w:rsidRDefault="00D2175D" w:rsidP="00D2175D">
      <w:r>
        <w:tab/>
      </w:r>
      <w:r>
        <w:tab/>
        <w:t>Where ObsMort = Observed mortalities in recapture sample,</w:t>
      </w:r>
    </w:p>
    <w:p w:rsidR="00D2175D" w:rsidRDefault="00D2175D" w:rsidP="00D2175D">
      <w:r>
        <w:tab/>
      </w:r>
      <w:r>
        <w:tab/>
        <w:t>NonRecapObs = Observed JFMF detections that were not in recapture sample</w:t>
      </w:r>
    </w:p>
    <w:p w:rsidR="00EF6F76" w:rsidRDefault="00D2175D" w:rsidP="00D2175D">
      <w:r>
        <w:tab/>
      </w:r>
      <w:r>
        <w:tab/>
        <w:t>And NonObs = Fish released but not observed anywhere in the JFMF</w:t>
      </w:r>
    </w:p>
    <w:p w:rsidR="00D2175D" w:rsidRDefault="00D2175D" w:rsidP="00D2175D"/>
    <w:p w:rsidR="00D2175D" w:rsidRDefault="00B91A45" w:rsidP="00B91A45">
      <w:pPr>
        <w:ind w:left="1440" w:hanging="1440"/>
      </w:pPr>
      <w:r>
        <w:t xml:space="preserve">Gatewell Residence Time (GRT) </w:t>
      </w:r>
      <w:r w:rsidR="00D2175D">
        <w:t xml:space="preserve"> = Median time from release to first detection in the JFMJ for each cohort of daily-released PIT-tagged fish into each gatewell</w:t>
      </w:r>
    </w:p>
    <w:p w:rsidR="00D2175D" w:rsidRDefault="00D2175D" w:rsidP="00D2175D">
      <w:pPr>
        <w:ind w:left="1800" w:hanging="1800"/>
      </w:pPr>
    </w:p>
    <w:p w:rsidR="00CD6FF6" w:rsidRDefault="00E37951" w:rsidP="00D2175D">
      <w:pPr>
        <w:ind w:left="1800" w:hanging="1800"/>
      </w:pPr>
      <w:r>
        <w:t>Consider</w:t>
      </w:r>
      <w:r w:rsidR="00CD6FF6">
        <w:t xml:space="preserve"> the following</w:t>
      </w:r>
      <w:r>
        <w:t xml:space="preserve"> possible</w:t>
      </w:r>
      <w:r w:rsidR="00CD6FF6">
        <w:t xml:space="preserve"> assumptions:</w:t>
      </w:r>
    </w:p>
    <w:p w:rsidR="00CD6FF6" w:rsidRDefault="00CD6FF6" w:rsidP="00574233">
      <w:r>
        <w:tab/>
        <w:t>A1 – Mortality was related only to gatewell treatment or passage to the JFMF, and not as a result of being sampled by the Sort-by-Code system.  Therefore, all mortality was expressed fairly quickly after the mechanism that caused it, and fish not sampled by the Sort-by-Code system had the same mortality probability as those sampled.</w:t>
      </w:r>
    </w:p>
    <w:p w:rsidR="00CD6FF6" w:rsidRDefault="00CD6FF6" w:rsidP="00574233">
      <w:r>
        <w:tab/>
        <w:t>A2</w:t>
      </w:r>
      <w:r w:rsidR="00E37951">
        <w:t>a</w:t>
      </w:r>
      <w:r>
        <w:t xml:space="preserve"> </w:t>
      </w:r>
      <w:r w:rsidR="00574233">
        <w:t>–</w:t>
      </w:r>
      <w:r>
        <w:t xml:space="preserve"> </w:t>
      </w:r>
      <w:r w:rsidR="00574233">
        <w:t>Fish not detected by the JFMF were mortalities that prevented the PIT tag from reaching the facility.  This means the JFMF detection probability was assumed to be 100% and tagged fish did not have an opportunity to exit the dam without passing through the JFMF.</w:t>
      </w:r>
    </w:p>
    <w:p w:rsidR="00E37951" w:rsidRDefault="00E37951" w:rsidP="00574233">
      <w:r>
        <w:tab/>
        <w:t xml:space="preserve">A2b – Fish not detected by the JFMF </w:t>
      </w:r>
      <w:r w:rsidR="006D2BB3">
        <w:t>passed another route</w:t>
      </w:r>
      <w:r>
        <w:t xml:space="preserve"> that prevented </w:t>
      </w:r>
      <w:r w:rsidR="006D2BB3">
        <w:t>the PIT tag from being detected.  This means the JFMF detection probability was assumed to be 0% and these fish would have had the same mortality probability as the JFMF-detected fish if they had used the same passage route.</w:t>
      </w:r>
    </w:p>
    <w:p w:rsidR="006D2BB3" w:rsidRDefault="006D2BB3" w:rsidP="00574233"/>
    <w:p w:rsidR="006D2BB3" w:rsidRDefault="006D2BB3" w:rsidP="00574233">
      <w:r>
        <w:t>ObsMortProp is an appropriate estimate of the true treatment mortality under A1 and A2b.  MaxMortProp is an appropriate estimate of the true treatment mortality under A1 and A2a.</w:t>
      </w:r>
      <w:r w:rsidR="00803029">
        <w:t xml:space="preserve">  We </w:t>
      </w:r>
      <w:r w:rsidR="00803029">
        <w:lastRenderedPageBreak/>
        <w:t>made a</w:t>
      </w:r>
      <w:r w:rsidR="000C6E50">
        <w:t xml:space="preserve">ssumption A1 for this study.  We also assumed that neither assumptions A2a or A2b were probably completely correct, but rather an unknown proportion of fish “fit” under each of them.  Unfortunately we have no way of estimating that proportion.  Therefore, accurate estimates of treatment mortality in this study lie between these two estimates.  When the proportion of undetected fish </w:t>
      </w:r>
      <w:r w:rsidR="008220E8">
        <w:t>wa</w:t>
      </w:r>
      <w:r w:rsidR="000C6E50">
        <w:t xml:space="preserve">s small, ObsMortProp </w:t>
      </w:r>
      <w:r w:rsidR="008220E8">
        <w:t>wa</w:t>
      </w:r>
      <w:r w:rsidR="000C6E50">
        <w:t>s assumed to be a reasonably accurate estimate</w:t>
      </w:r>
      <w:r w:rsidR="007C7DD1">
        <w:t xml:space="preserve"> of the particular treatment mortality.</w:t>
      </w:r>
    </w:p>
    <w:p w:rsidR="00574233" w:rsidRDefault="00574233" w:rsidP="00574233"/>
    <w:p w:rsidR="00D2175D" w:rsidRDefault="00D2175D" w:rsidP="00D2175D">
      <w:pPr>
        <w:ind w:left="1800" w:hanging="1800"/>
      </w:pPr>
      <w:r>
        <w:t>Summary data results are as follows:</w:t>
      </w:r>
    </w:p>
    <w:p w:rsidR="00CD6FF6" w:rsidRDefault="00CD6FF6">
      <w:r>
        <w:br w:type="page"/>
      </w:r>
    </w:p>
    <w:p w:rsidR="00D2175D" w:rsidRDefault="00D2175D" w:rsidP="00C64BE0">
      <w:pPr>
        <w:ind w:left="990" w:hanging="990"/>
      </w:pPr>
      <w:r>
        <w:lastRenderedPageBreak/>
        <w:t>Table 1</w:t>
      </w:r>
      <w:r w:rsidR="00C64BE0">
        <w:t>a</w:t>
      </w:r>
      <w:r w:rsidR="00CD6FF6">
        <w:t>.  Series 1, Unit 14A</w:t>
      </w:r>
      <w:r w:rsidR="00AD50EE">
        <w:t>.  Metrics for PIT-tag released subyearling Chinook salmon at Bonneville Dam 2</w:t>
      </w:r>
      <w:r w:rsidR="00AD50EE" w:rsidRPr="00AD50EE">
        <w:rPr>
          <w:vertAlign w:val="superscript"/>
        </w:rPr>
        <w:t>nd</w:t>
      </w:r>
      <w:r w:rsidR="00AD50EE">
        <w:t xml:space="preserve"> Powerhouse in 2015.</w:t>
      </w:r>
    </w:p>
    <w:tbl>
      <w:tblPr>
        <w:tblW w:w="8832" w:type="dxa"/>
        <w:tblInd w:w="108" w:type="dxa"/>
        <w:tblLook w:val="04A0"/>
      </w:tblPr>
      <w:tblGrid>
        <w:gridCol w:w="1036"/>
        <w:gridCol w:w="976"/>
        <w:gridCol w:w="987"/>
        <w:gridCol w:w="1316"/>
        <w:gridCol w:w="1427"/>
        <w:gridCol w:w="1475"/>
        <w:gridCol w:w="1896"/>
      </w:tblGrid>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Release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Release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Median Gatewell</w:t>
            </w:r>
          </w:p>
        </w:tc>
      </w:tr>
      <w:tr w:rsidR="00A50B57" w:rsidRPr="00A50B57" w:rsidTr="00A50B57">
        <w:trPr>
          <w:trHeight w:val="300"/>
        </w:trPr>
        <w:tc>
          <w:tcPr>
            <w:tcW w:w="103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Date</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Number</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ObsProp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RecapProp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ObsMortProp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7C7DD1" w:rsidP="00A50B57">
            <w:pPr>
              <w:jc w:val="center"/>
              <w:rPr>
                <w:rFonts w:eastAsia="Times New Roman" w:cs="Times New Roman"/>
                <w:color w:val="000000"/>
                <w:sz w:val="22"/>
              </w:rPr>
            </w:pPr>
            <w:r>
              <w:rPr>
                <w:rFonts w:eastAsia="Times New Roman" w:cs="Times New Roman"/>
                <w:color w:val="000000"/>
                <w:sz w:val="22"/>
              </w:rPr>
              <w:t>MaxMortProp</w:t>
            </w:r>
          </w:p>
        </w:tc>
        <w:tc>
          <w:tcPr>
            <w:tcW w:w="189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Residence Time (d)</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0.930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0.978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0.187</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0.244</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0.106</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4/2</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94</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0.872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0.122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0.234</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0.057</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4/3</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0.990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0.292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0.320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0.263</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4/4</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0.920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0.978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0.256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0.315</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0.038</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4/5</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0.920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0.957</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0.443</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0.488</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0.347</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4/6</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102</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0.951</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0.969</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0.340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0.373</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0.463</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4/7</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0.930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0.322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0.370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0.251</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4/8</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99</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0.916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0.184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0.217</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0.044</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4/9</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0.970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0.949</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0.323</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0.343</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0.289</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4/21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116</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0.879</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0.961</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0.122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0.228</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0.506</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4/23</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250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0.912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0.890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0.059</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0.142</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0.487</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5/5</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125</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0.992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0.042</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0.544</w:t>
            </w:r>
          </w:p>
        </w:tc>
      </w:tr>
      <w:tr w:rsidR="00A50B57" w:rsidRPr="00A50B57" w:rsidTr="00A50B57">
        <w:trPr>
          <w:trHeight w:val="300"/>
        </w:trPr>
        <w:tc>
          <w:tcPr>
            <w:tcW w:w="103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5/7</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233</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0.966</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0.942</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0.038</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0.071</w:t>
            </w:r>
          </w:p>
        </w:tc>
        <w:tc>
          <w:tcPr>
            <w:tcW w:w="189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0.495</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Mean</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0.936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0.209</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0.260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0.299</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0.035</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0.053</w:t>
            </w:r>
          </w:p>
        </w:tc>
      </w:tr>
    </w:tbl>
    <w:p w:rsidR="00CD6FF6" w:rsidRDefault="00CD6FF6" w:rsidP="00D2175D">
      <w:pPr>
        <w:ind w:left="1800" w:hanging="1800"/>
      </w:pPr>
    </w:p>
    <w:p w:rsidR="00CD6FF6" w:rsidRDefault="00CD6FF6" w:rsidP="00D2175D">
      <w:pPr>
        <w:ind w:left="1800" w:hanging="1800"/>
      </w:pPr>
    </w:p>
    <w:p w:rsidR="00AD50EE" w:rsidRDefault="00CD6FF6" w:rsidP="00AD50EE">
      <w:pPr>
        <w:ind w:left="1080" w:hanging="1080"/>
      </w:pPr>
      <w:r>
        <w:t>Table 1b.  Series 1, Unit 15A</w:t>
      </w:r>
      <w:r w:rsidR="00AD50EE">
        <w:t>.  Metrics for PIT-tag released subyearling Chinook salmon at Bonneville Dam 2</w:t>
      </w:r>
      <w:r w:rsidR="00AD50EE" w:rsidRPr="00AD50EE">
        <w:rPr>
          <w:vertAlign w:val="superscript"/>
        </w:rPr>
        <w:t>nd</w:t>
      </w:r>
      <w:r w:rsidR="00AD50EE">
        <w:t xml:space="preserve"> Powerhouse in 2015.</w:t>
      </w:r>
    </w:p>
    <w:p w:rsidR="00CD6FF6" w:rsidRDefault="00CD6FF6" w:rsidP="00D2175D">
      <w:pPr>
        <w:ind w:left="1800" w:hanging="1800"/>
      </w:pPr>
    </w:p>
    <w:tbl>
      <w:tblPr>
        <w:tblW w:w="8832" w:type="dxa"/>
        <w:tblInd w:w="108" w:type="dxa"/>
        <w:tblLook w:val="04A0"/>
      </w:tblPr>
      <w:tblGrid>
        <w:gridCol w:w="1036"/>
        <w:gridCol w:w="976"/>
        <w:gridCol w:w="987"/>
        <w:gridCol w:w="1316"/>
        <w:gridCol w:w="1427"/>
        <w:gridCol w:w="1475"/>
        <w:gridCol w:w="1896"/>
      </w:tblGrid>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Release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Release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Median Gatewell</w:t>
            </w:r>
          </w:p>
        </w:tc>
      </w:tr>
      <w:tr w:rsidR="00A50B57" w:rsidRPr="00A50B57" w:rsidTr="00A50B57">
        <w:trPr>
          <w:trHeight w:val="300"/>
        </w:trPr>
        <w:tc>
          <w:tcPr>
            <w:tcW w:w="103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Date</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Number</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ObsProp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RecapProp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ObsMortProp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7C7DD1" w:rsidP="00A50B57">
            <w:pPr>
              <w:jc w:val="center"/>
              <w:rPr>
                <w:rFonts w:eastAsia="Times New Roman" w:cs="Times New Roman"/>
                <w:color w:val="000000"/>
                <w:sz w:val="22"/>
              </w:rPr>
            </w:pPr>
            <w:r>
              <w:rPr>
                <w:rFonts w:eastAsia="Times New Roman" w:cs="Times New Roman"/>
                <w:color w:val="000000"/>
                <w:sz w:val="22"/>
              </w:rPr>
              <w:t>MaxMortProp</w:t>
            </w:r>
          </w:p>
        </w:tc>
        <w:tc>
          <w:tcPr>
            <w:tcW w:w="189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Residence Time (d)</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0.050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0.095</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4/2</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99</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0.914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0.975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0.026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0.105</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0.035</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4/3</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102</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0.882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0.118</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0.054</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4/4</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0.910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0.130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0.040</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4/5</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0.890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0.989</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0.110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0.057</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4/6</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0.840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0.160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0.175</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4/7</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0.634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0.386</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0.106</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4/8</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0.620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0.051</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0.412</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0.076</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4/9</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0.580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0.983</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0.430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0.068</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4/21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115</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0.443</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0.922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0.085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0.594</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0.075</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4/23</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240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0.783</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0.963</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0.221</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0.522</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5/5</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125</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0.800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0.208</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0.537</w:t>
            </w:r>
          </w:p>
        </w:tc>
      </w:tr>
      <w:tr w:rsidR="00A50B57" w:rsidRPr="00A50B57" w:rsidTr="00A50B57">
        <w:trPr>
          <w:trHeight w:val="300"/>
        </w:trPr>
        <w:tc>
          <w:tcPr>
            <w:tcW w:w="103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5/7</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247</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0.834</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0.971</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0.166</w:t>
            </w:r>
          </w:p>
        </w:tc>
        <w:tc>
          <w:tcPr>
            <w:tcW w:w="189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0.543</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Mean</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0.775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0.978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0.021</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0.238</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0.183</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0.043</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0.007</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0.046</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0.056</w:t>
            </w:r>
          </w:p>
        </w:tc>
      </w:tr>
    </w:tbl>
    <w:p w:rsidR="00CD6FF6" w:rsidRDefault="00CD6FF6">
      <w:r>
        <w:br w:type="page"/>
      </w:r>
    </w:p>
    <w:p w:rsidR="00AD50EE" w:rsidRDefault="00CD6FF6" w:rsidP="00AD50EE">
      <w:pPr>
        <w:ind w:left="990" w:hanging="990"/>
      </w:pPr>
      <w:r>
        <w:lastRenderedPageBreak/>
        <w:t>Table 2a.  Series 2, Unit 14A</w:t>
      </w:r>
      <w:r w:rsidR="00AD50EE">
        <w:t>.  Metrics for PIT-tag released subyearling Chinook salmon at Bonneville Dam 2</w:t>
      </w:r>
      <w:r w:rsidR="00AD50EE" w:rsidRPr="00AD50EE">
        <w:rPr>
          <w:vertAlign w:val="superscript"/>
        </w:rPr>
        <w:t>nd</w:t>
      </w:r>
      <w:r w:rsidR="00AD50EE">
        <w:t xml:space="preserve"> Powerhouse in 2015.</w:t>
      </w:r>
    </w:p>
    <w:p w:rsidR="00CD6FF6" w:rsidRDefault="00CD6FF6" w:rsidP="00D2175D">
      <w:pPr>
        <w:ind w:left="1800" w:hanging="1800"/>
      </w:pPr>
    </w:p>
    <w:tbl>
      <w:tblPr>
        <w:tblW w:w="8832" w:type="dxa"/>
        <w:tblInd w:w="108" w:type="dxa"/>
        <w:tblLook w:val="04A0"/>
      </w:tblPr>
      <w:tblGrid>
        <w:gridCol w:w="1036"/>
        <w:gridCol w:w="976"/>
        <w:gridCol w:w="987"/>
        <w:gridCol w:w="1316"/>
        <w:gridCol w:w="1427"/>
        <w:gridCol w:w="1475"/>
        <w:gridCol w:w="1896"/>
      </w:tblGrid>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Release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Release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Median Gatewell</w:t>
            </w:r>
          </w:p>
        </w:tc>
      </w:tr>
      <w:tr w:rsidR="00A50B57" w:rsidRPr="00A50B57" w:rsidTr="00A50B57">
        <w:trPr>
          <w:trHeight w:val="300"/>
        </w:trPr>
        <w:tc>
          <w:tcPr>
            <w:tcW w:w="103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Date</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Number</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ObsProp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RecapProp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ObsMortProp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7C7DD1" w:rsidP="00A50B57">
            <w:pPr>
              <w:jc w:val="center"/>
              <w:rPr>
                <w:rFonts w:eastAsia="Times New Roman" w:cs="Times New Roman"/>
                <w:color w:val="000000"/>
                <w:sz w:val="22"/>
              </w:rPr>
            </w:pPr>
            <w:r>
              <w:rPr>
                <w:rFonts w:eastAsia="Times New Roman" w:cs="Times New Roman"/>
                <w:color w:val="000000"/>
                <w:sz w:val="22"/>
              </w:rPr>
              <w:t>MaxMortProp</w:t>
            </w:r>
          </w:p>
        </w:tc>
        <w:tc>
          <w:tcPr>
            <w:tcW w:w="189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Residence Time (d)</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5/12</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0.938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0.017</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0.032</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0.532</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5/13</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129</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0.937</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0.016</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0.044</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5/14</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123</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0.942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0.034</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0.392</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5/15</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0.976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0.025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0.070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0.548</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5/18</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0.977</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0.969</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0.039</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0.545</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5/19</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0.953</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0.041</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0.056</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0.527</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129</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0.031</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0.393</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0.076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0.118</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0.288</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5/22</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140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0.407</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5/27</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0.992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0.953</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0.008</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0.369</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5/28</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0.946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0.935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0.017</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0.070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0.548</w:t>
            </w:r>
          </w:p>
        </w:tc>
      </w:tr>
      <w:tr w:rsidR="00A50B57" w:rsidRPr="00A50B57" w:rsidTr="00A50B57">
        <w:trPr>
          <w:trHeight w:val="300"/>
        </w:trPr>
        <w:tc>
          <w:tcPr>
            <w:tcW w:w="103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5/29</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135</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0.993</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0.978</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0.008</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0.015</w:t>
            </w:r>
          </w:p>
        </w:tc>
        <w:tc>
          <w:tcPr>
            <w:tcW w:w="189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0.568</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Mean</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0.977</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0.957</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0.021</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0.044</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0.430</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0.044</w:t>
            </w:r>
          </w:p>
        </w:tc>
      </w:tr>
    </w:tbl>
    <w:p w:rsidR="00CD6FF6" w:rsidRDefault="00CD6FF6" w:rsidP="00D2175D">
      <w:pPr>
        <w:ind w:left="1800" w:hanging="1800"/>
      </w:pPr>
    </w:p>
    <w:p w:rsidR="00AD50EE" w:rsidRDefault="00CD6FF6" w:rsidP="00C64BE0">
      <w:pPr>
        <w:ind w:left="990" w:hanging="990"/>
      </w:pPr>
      <w:r>
        <w:t xml:space="preserve">Table 2b.  </w:t>
      </w:r>
      <w:r w:rsidR="00C64BE0">
        <w:t>S</w:t>
      </w:r>
      <w:r>
        <w:t>eries 2, Unit 15C</w:t>
      </w:r>
      <w:r w:rsidR="00AD50EE">
        <w:t>.  Metrics for PIT-tag release</w:t>
      </w:r>
      <w:r w:rsidR="00C64BE0">
        <w:t xml:space="preserve">d subyearling Chinook salmon at </w:t>
      </w:r>
      <w:r w:rsidR="00AD50EE">
        <w:t>Bonneville Dam 2</w:t>
      </w:r>
      <w:r w:rsidR="00AD50EE" w:rsidRPr="00AD50EE">
        <w:rPr>
          <w:vertAlign w:val="superscript"/>
        </w:rPr>
        <w:t>nd</w:t>
      </w:r>
      <w:r w:rsidR="00AD50EE">
        <w:t xml:space="preserve"> Powerhouse in 2015.</w:t>
      </w:r>
    </w:p>
    <w:p w:rsidR="00B47F9D" w:rsidRDefault="00B47F9D" w:rsidP="00B47F9D"/>
    <w:tbl>
      <w:tblPr>
        <w:tblW w:w="8832" w:type="dxa"/>
        <w:tblInd w:w="108" w:type="dxa"/>
        <w:tblLook w:val="04A0"/>
      </w:tblPr>
      <w:tblGrid>
        <w:gridCol w:w="1036"/>
        <w:gridCol w:w="976"/>
        <w:gridCol w:w="987"/>
        <w:gridCol w:w="1316"/>
        <w:gridCol w:w="1427"/>
        <w:gridCol w:w="1475"/>
        <w:gridCol w:w="1896"/>
      </w:tblGrid>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Release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Release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Median Gatewell</w:t>
            </w:r>
          </w:p>
        </w:tc>
      </w:tr>
      <w:tr w:rsidR="00A50B57" w:rsidRPr="00A50B57" w:rsidTr="00A50B57">
        <w:trPr>
          <w:trHeight w:val="300"/>
        </w:trPr>
        <w:tc>
          <w:tcPr>
            <w:tcW w:w="103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Date</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Number</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ObsProp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RecapProp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ObsMortProp</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7C7DD1" w:rsidP="00A50B57">
            <w:pPr>
              <w:jc w:val="center"/>
              <w:rPr>
                <w:rFonts w:eastAsia="Times New Roman" w:cs="Times New Roman"/>
                <w:color w:val="000000"/>
                <w:sz w:val="22"/>
              </w:rPr>
            </w:pPr>
            <w:r>
              <w:rPr>
                <w:rFonts w:eastAsia="Times New Roman" w:cs="Times New Roman"/>
                <w:color w:val="000000"/>
                <w:sz w:val="22"/>
              </w:rPr>
              <w:t>MaxMortProp</w:t>
            </w:r>
          </w:p>
        </w:tc>
        <w:tc>
          <w:tcPr>
            <w:tcW w:w="189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Residence Time (d)</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5/12</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0.046</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0.345</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5/13</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0.046</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0.368</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5/14</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118</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0.983</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0.948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0.017</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0.337</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5/15</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134</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0.985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0.030</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0.511</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5/18</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0.969</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0.047</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0.497</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5/19</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0.915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0.101</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0.633</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0.815</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0.185</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0.296</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5/21</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0.992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0.008</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0.046</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0.545</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5/22</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142</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0.944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0.567</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5/27</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0.847</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0.046</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0.518</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5/28</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130</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0.962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0.920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0.038</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0.545</w:t>
            </w:r>
          </w:p>
        </w:tc>
      </w:tr>
      <w:tr w:rsidR="00A50B57" w:rsidRPr="00A50B57" w:rsidTr="00A50B57">
        <w:trPr>
          <w:trHeight w:val="300"/>
        </w:trPr>
        <w:tc>
          <w:tcPr>
            <w:tcW w:w="103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5/29</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134</w:t>
            </w:r>
          </w:p>
        </w:tc>
        <w:tc>
          <w:tcPr>
            <w:tcW w:w="97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0.993</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0.955</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0.000</w:t>
            </w:r>
          </w:p>
        </w:tc>
        <w:tc>
          <w:tcPr>
            <w:tcW w:w="131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0.007</w:t>
            </w:r>
          </w:p>
        </w:tc>
        <w:tc>
          <w:tcPr>
            <w:tcW w:w="1896" w:type="dxa"/>
            <w:tcBorders>
              <w:top w:val="nil"/>
              <w:left w:val="nil"/>
              <w:bottom w:val="single" w:sz="4" w:space="0" w:color="auto"/>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0.475</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Mean</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0.950</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0.954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0.006</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0.055</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0.470</w:t>
            </w:r>
          </w:p>
        </w:tc>
      </w:tr>
      <w:tr w:rsidR="00A50B57" w:rsidRPr="00A50B57" w:rsidTr="00A50B57">
        <w:trPr>
          <w:trHeight w:val="300"/>
        </w:trPr>
        <w:tc>
          <w:tcPr>
            <w:tcW w:w="103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SE</w:t>
            </w:r>
          </w:p>
        </w:tc>
        <w:tc>
          <w:tcPr>
            <w:tcW w:w="97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0.014</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0.013</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0.002</w:t>
            </w:r>
          </w:p>
        </w:tc>
        <w:tc>
          <w:tcPr>
            <w:tcW w:w="131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0.015</w:t>
            </w:r>
          </w:p>
        </w:tc>
        <w:tc>
          <w:tcPr>
            <w:tcW w:w="1896" w:type="dxa"/>
            <w:tcBorders>
              <w:top w:val="nil"/>
              <w:left w:val="nil"/>
              <w:bottom w:val="nil"/>
              <w:right w:val="nil"/>
            </w:tcBorders>
            <w:shd w:val="clear" w:color="auto" w:fill="auto"/>
            <w:noWrap/>
            <w:vAlign w:val="bottom"/>
            <w:hideMark/>
          </w:tcPr>
          <w:p w:rsidR="00A50B57" w:rsidRPr="00A50B57" w:rsidRDefault="00A50B57" w:rsidP="00A50B57">
            <w:pPr>
              <w:jc w:val="center"/>
              <w:rPr>
                <w:rFonts w:eastAsia="Times New Roman" w:cs="Times New Roman"/>
                <w:color w:val="000000"/>
                <w:sz w:val="22"/>
              </w:rPr>
            </w:pPr>
            <w:r w:rsidRPr="00A50B57">
              <w:rPr>
                <w:rFonts w:eastAsia="Times New Roman" w:cs="Times New Roman"/>
                <w:color w:val="000000"/>
                <w:sz w:val="22"/>
              </w:rPr>
              <w:t>0.031</w:t>
            </w:r>
          </w:p>
        </w:tc>
      </w:tr>
    </w:tbl>
    <w:p w:rsidR="00CD6FF6" w:rsidRDefault="00CD6FF6" w:rsidP="00B47F9D"/>
    <w:p w:rsidR="00CD6FF6" w:rsidRDefault="00CD6FF6">
      <w:r>
        <w:br w:type="page"/>
      </w:r>
    </w:p>
    <w:p w:rsidR="00CD6FF6" w:rsidRDefault="000A633F" w:rsidP="00B47F9D">
      <w:r>
        <w:rPr>
          <w:noProof/>
        </w:rPr>
        <w:lastRenderedPageBreak/>
        <w:drawing>
          <wp:inline distT="0" distB="0" distL="0" distR="0">
            <wp:extent cx="5443438" cy="652157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279" cy="6527370"/>
                    </a:xfrm>
                    <a:prstGeom prst="rect">
                      <a:avLst/>
                    </a:prstGeom>
                    <a:noFill/>
                  </pic:spPr>
                </pic:pic>
              </a:graphicData>
            </a:graphic>
          </wp:inline>
        </w:drawing>
      </w:r>
    </w:p>
    <w:p w:rsidR="000A633F" w:rsidRDefault="000A633F" w:rsidP="00B47F9D">
      <w:r>
        <w:t xml:space="preserve">Figure 1.  Observed proportion </w:t>
      </w:r>
      <w:r w:rsidR="00E179FD">
        <w:t xml:space="preserve">of fish </w:t>
      </w:r>
      <w:r>
        <w:t>detected on the JFMF</w:t>
      </w:r>
      <w:r w:rsidR="00312EB9">
        <w:t xml:space="preserve"> in 2015</w:t>
      </w:r>
      <w:r>
        <w:t>.</w:t>
      </w:r>
    </w:p>
    <w:p w:rsidR="000A633F" w:rsidRDefault="000A633F">
      <w:r>
        <w:br w:type="page"/>
      </w:r>
    </w:p>
    <w:p w:rsidR="000A633F" w:rsidRDefault="00E179FD" w:rsidP="00B47F9D">
      <w:r>
        <w:rPr>
          <w:noProof/>
        </w:rPr>
        <w:lastRenderedPageBreak/>
        <w:drawing>
          <wp:inline distT="0" distB="0" distL="0" distR="0">
            <wp:extent cx="5472238" cy="6556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7105" cy="6561906"/>
                    </a:xfrm>
                    <a:prstGeom prst="rect">
                      <a:avLst/>
                    </a:prstGeom>
                    <a:noFill/>
                  </pic:spPr>
                </pic:pic>
              </a:graphicData>
            </a:graphic>
          </wp:inline>
        </w:drawing>
      </w:r>
    </w:p>
    <w:p w:rsidR="00E179FD" w:rsidRDefault="00E179FD" w:rsidP="00B47F9D">
      <w:r>
        <w:t>Figure 2.  Recapture proportion of JFMF-detected fish</w:t>
      </w:r>
      <w:r w:rsidR="00312EB9">
        <w:t xml:space="preserve"> in 2015</w:t>
      </w:r>
      <w:r>
        <w:t>.</w:t>
      </w:r>
    </w:p>
    <w:p w:rsidR="00E179FD" w:rsidRDefault="00E179FD">
      <w:r>
        <w:br w:type="page"/>
      </w:r>
    </w:p>
    <w:p w:rsidR="00E179FD" w:rsidRDefault="007C7DD1" w:rsidP="00B47F9D">
      <w:r>
        <w:rPr>
          <w:noProof/>
        </w:rPr>
        <w:lastRenderedPageBreak/>
        <w:drawing>
          <wp:inline distT="0" distB="0" distL="0" distR="0">
            <wp:extent cx="5486400" cy="65730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1280" cy="6578887"/>
                    </a:xfrm>
                    <a:prstGeom prst="rect">
                      <a:avLst/>
                    </a:prstGeom>
                    <a:noFill/>
                  </pic:spPr>
                </pic:pic>
              </a:graphicData>
            </a:graphic>
          </wp:inline>
        </w:drawing>
      </w:r>
    </w:p>
    <w:p w:rsidR="00E179FD" w:rsidRDefault="00E179FD" w:rsidP="00312EB9">
      <w:pPr>
        <w:ind w:left="990" w:hanging="990"/>
      </w:pPr>
      <w:r>
        <w:t xml:space="preserve">Figure 3.  </w:t>
      </w:r>
      <w:r w:rsidR="007C7DD1">
        <w:t>Observed</w:t>
      </w:r>
      <w:r>
        <w:t xml:space="preserve"> mortality for fish observed in the recapture sample</w:t>
      </w:r>
      <w:r w:rsidR="00312EB9">
        <w:t xml:space="preserve"> in 2015</w:t>
      </w:r>
      <w:r>
        <w:t>.</w:t>
      </w:r>
    </w:p>
    <w:p w:rsidR="007C7DD1" w:rsidRDefault="007C7DD1" w:rsidP="00312EB9">
      <w:pPr>
        <w:ind w:left="990" w:hanging="990"/>
      </w:pPr>
    </w:p>
    <w:p w:rsidR="007C7DD1" w:rsidRDefault="007C7DD1" w:rsidP="00312EB9">
      <w:pPr>
        <w:ind w:left="990" w:hanging="990"/>
      </w:pPr>
      <w:r>
        <w:rPr>
          <w:noProof/>
        </w:rPr>
        <w:lastRenderedPageBreak/>
        <w:drawing>
          <wp:inline distT="0" distB="0" distL="0" distR="0">
            <wp:extent cx="5477774" cy="6562707"/>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2646" cy="6568544"/>
                    </a:xfrm>
                    <a:prstGeom prst="rect">
                      <a:avLst/>
                    </a:prstGeom>
                    <a:noFill/>
                  </pic:spPr>
                </pic:pic>
              </a:graphicData>
            </a:graphic>
          </wp:inline>
        </w:drawing>
      </w:r>
    </w:p>
    <w:p w:rsidR="007C7DD1" w:rsidRDefault="007C7DD1" w:rsidP="00312EB9">
      <w:pPr>
        <w:ind w:left="990" w:hanging="990"/>
      </w:pPr>
      <w:r>
        <w:t>Figure 4.  Maximum estimated mortality for fish observed in the recapture sample, estimated for fish in the JFMF but not recaptured, and assumed for non-detected fish in 2015</w:t>
      </w:r>
    </w:p>
    <w:p w:rsidR="00E179FD" w:rsidRDefault="00E179FD">
      <w:r>
        <w:br w:type="page"/>
      </w:r>
    </w:p>
    <w:p w:rsidR="00E179FD" w:rsidRDefault="007731F5" w:rsidP="00B47F9D">
      <w:r>
        <w:rPr>
          <w:noProof/>
        </w:rPr>
        <w:lastRenderedPageBreak/>
        <w:drawing>
          <wp:inline distT="0" distB="0" distL="0" distR="0">
            <wp:extent cx="5472238" cy="6556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7105" cy="6561906"/>
                    </a:xfrm>
                    <a:prstGeom prst="rect">
                      <a:avLst/>
                    </a:prstGeom>
                    <a:noFill/>
                  </pic:spPr>
                </pic:pic>
              </a:graphicData>
            </a:graphic>
          </wp:inline>
        </w:drawing>
      </w:r>
    </w:p>
    <w:p w:rsidR="00E179FD" w:rsidRDefault="00E179FD" w:rsidP="00312EB9">
      <w:pPr>
        <w:ind w:left="990" w:hanging="990"/>
      </w:pPr>
      <w:r>
        <w:t xml:space="preserve">Figure </w:t>
      </w:r>
      <w:r w:rsidR="007C7DD1">
        <w:t>5</w:t>
      </w:r>
      <w:r>
        <w:t xml:space="preserve">.  </w:t>
      </w:r>
      <w:r w:rsidR="00312EB9">
        <w:t>Median Gatewell Residence</w:t>
      </w:r>
      <w:r>
        <w:t xml:space="preserve"> time from Gatewells 14A, 15A, or 15C to first detection in the JFMF</w:t>
      </w:r>
      <w:r w:rsidR="00312EB9">
        <w:t xml:space="preserve"> in 2015</w:t>
      </w:r>
      <w:r>
        <w:t>.</w:t>
      </w:r>
    </w:p>
    <w:p w:rsidR="00E179FD" w:rsidRDefault="00E179FD">
      <w:r>
        <w:br w:type="page"/>
      </w:r>
    </w:p>
    <w:p w:rsidR="00E179FD" w:rsidRDefault="00E179FD" w:rsidP="00B47F9D">
      <w:r>
        <w:lastRenderedPageBreak/>
        <w:t>Comparisons</w:t>
      </w:r>
    </w:p>
    <w:p w:rsidR="00E179FD" w:rsidRDefault="00E179FD" w:rsidP="00B47F9D"/>
    <w:p w:rsidR="00E179FD" w:rsidRDefault="00E179FD" w:rsidP="00B47F9D">
      <w:r>
        <w:t>From the proposal for this study, the objectives were:</w:t>
      </w:r>
    </w:p>
    <w:p w:rsidR="00B91A45" w:rsidRDefault="00B91A45" w:rsidP="00B47F9D"/>
    <w:p w:rsidR="00B91A45" w:rsidRPr="007F566E" w:rsidRDefault="00B91A45" w:rsidP="00B91A45">
      <w:r>
        <w:t xml:space="preserve">     1 &amp; 2.  Hydraulic testing (not included).</w:t>
      </w:r>
    </w:p>
    <w:p w:rsidR="00B91A45" w:rsidRDefault="00B91A45" w:rsidP="00B91A45">
      <w:pPr>
        <w:pStyle w:val="JBNormal"/>
        <w:keepNext/>
        <w:keepLines/>
        <w:rPr>
          <w:bCs/>
        </w:rPr>
      </w:pPr>
    </w:p>
    <w:p w:rsidR="00B91A45" w:rsidRDefault="00B91A45" w:rsidP="00B91A45">
      <w:pPr>
        <w:numPr>
          <w:ilvl w:val="0"/>
          <w:numId w:val="3"/>
        </w:numPr>
        <w:spacing w:after="200" w:line="276" w:lineRule="auto"/>
        <w:contextualSpacing/>
        <w:rPr>
          <w:rFonts w:eastAsia="Calibri"/>
        </w:rPr>
      </w:pPr>
      <w:r w:rsidRPr="007169DC">
        <w:rPr>
          <w:rFonts w:eastAsia="Calibri"/>
        </w:rPr>
        <w:t>Estimate Spring Creek NFH juvenile subyearling Chinook salmon mortality and gatewell residence time at the upper and middle 1% peak efficiency range under the following gatewell configurations</w:t>
      </w:r>
      <w:bookmarkStart w:id="0" w:name="OLE_LINK2"/>
      <w:r w:rsidRPr="007169DC">
        <w:rPr>
          <w:rFonts w:eastAsia="Calibri"/>
        </w:rPr>
        <w:t xml:space="preserve"> in 15A and 14A.  </w:t>
      </w:r>
      <w:bookmarkEnd w:id="0"/>
    </w:p>
    <w:p w:rsidR="00B91A45" w:rsidRPr="007169DC" w:rsidRDefault="00B91A45" w:rsidP="00B91A45">
      <w:pPr>
        <w:spacing w:after="200" w:line="276" w:lineRule="auto"/>
        <w:ind w:left="720"/>
        <w:contextualSpacing/>
        <w:rPr>
          <w:rFonts w:eastAsia="Calibri"/>
        </w:rPr>
      </w:pPr>
    </w:p>
    <w:p w:rsidR="00B91A45" w:rsidRPr="007F566E" w:rsidRDefault="00B91A45" w:rsidP="00B91A45">
      <w:pPr>
        <w:numPr>
          <w:ilvl w:val="1"/>
          <w:numId w:val="1"/>
        </w:numPr>
        <w:spacing w:after="200" w:line="276" w:lineRule="auto"/>
        <w:contextualSpacing/>
        <w:rPr>
          <w:rFonts w:eastAsia="Calibri"/>
        </w:rPr>
      </w:pPr>
      <w:r w:rsidRPr="007F566E">
        <w:rPr>
          <w:rFonts w:eastAsia="Calibri"/>
        </w:rPr>
        <w:t>Modified Gatewell 15A a</w:t>
      </w:r>
      <w:r>
        <w:rPr>
          <w:rFonts w:eastAsia="Calibri"/>
        </w:rPr>
        <w:t>t</w:t>
      </w:r>
      <w:r w:rsidRPr="007F566E">
        <w:rPr>
          <w:rFonts w:eastAsia="Calibri"/>
        </w:rPr>
        <w:t xml:space="preserve"> upper 1% operation. </w:t>
      </w:r>
    </w:p>
    <w:p w:rsidR="00B91A45" w:rsidRDefault="00B91A45" w:rsidP="00B91A45">
      <w:pPr>
        <w:numPr>
          <w:ilvl w:val="1"/>
          <w:numId w:val="1"/>
        </w:numPr>
        <w:spacing w:after="200" w:line="276" w:lineRule="auto"/>
        <w:contextualSpacing/>
        <w:rPr>
          <w:rFonts w:eastAsia="Calibri"/>
        </w:rPr>
      </w:pPr>
      <w:r w:rsidRPr="007F566E">
        <w:rPr>
          <w:rFonts w:eastAsia="Calibri"/>
        </w:rPr>
        <w:t xml:space="preserve">Unmodified Gatewell 14A at middle 1% operation. </w:t>
      </w:r>
    </w:p>
    <w:p w:rsidR="00B91A45" w:rsidRDefault="00B91A45" w:rsidP="00B91A45">
      <w:pPr>
        <w:spacing w:after="200" w:line="276" w:lineRule="auto"/>
        <w:contextualSpacing/>
        <w:rPr>
          <w:rFonts w:eastAsia="Calibri"/>
        </w:rPr>
      </w:pPr>
    </w:p>
    <w:p w:rsidR="00B91A45" w:rsidRDefault="00B91A45" w:rsidP="00B91A45">
      <w:pPr>
        <w:spacing w:after="200" w:line="276" w:lineRule="auto"/>
        <w:ind w:left="360"/>
        <w:contextualSpacing/>
        <w:rPr>
          <w:rFonts w:eastAsia="Calibri"/>
        </w:rPr>
      </w:pPr>
      <w:r>
        <w:rPr>
          <w:rFonts w:eastAsia="Calibri"/>
        </w:rPr>
        <w:t xml:space="preserve">4.   </w:t>
      </w:r>
      <w:r w:rsidRPr="00C04397">
        <w:rPr>
          <w:rFonts w:eastAsia="Calibri"/>
        </w:rPr>
        <w:t xml:space="preserve">Estimate </w:t>
      </w:r>
      <w:r>
        <w:rPr>
          <w:rFonts w:eastAsia="Calibri"/>
        </w:rPr>
        <w:t xml:space="preserve">Spring Creek NFH juvenile subyearling Chinook salmon mortality and </w:t>
      </w:r>
    </w:p>
    <w:p w:rsidR="00B91A45" w:rsidRDefault="00B91A45" w:rsidP="00B91A45">
      <w:pPr>
        <w:spacing w:after="200" w:line="276" w:lineRule="auto"/>
        <w:ind w:left="720"/>
        <w:contextualSpacing/>
        <w:rPr>
          <w:rFonts w:eastAsia="Calibri"/>
        </w:rPr>
      </w:pPr>
      <w:r>
        <w:rPr>
          <w:rFonts w:eastAsia="Calibri"/>
        </w:rPr>
        <w:t>gatewell residence time at the upper and middle 1% peak efficiency range of Gatewell Slots 14A and 15C.</w:t>
      </w:r>
    </w:p>
    <w:p w:rsidR="00B91A45" w:rsidRDefault="00B91A45" w:rsidP="00B91A45">
      <w:pPr>
        <w:spacing w:after="200" w:line="276" w:lineRule="auto"/>
        <w:ind w:left="360"/>
        <w:contextualSpacing/>
        <w:rPr>
          <w:rFonts w:eastAsia="Calibri"/>
        </w:rPr>
      </w:pPr>
    </w:p>
    <w:p w:rsidR="00B91A45" w:rsidRPr="00C04397" w:rsidRDefault="00B91A45" w:rsidP="00B91A45">
      <w:pPr>
        <w:spacing w:after="200" w:line="276" w:lineRule="auto"/>
        <w:ind w:firstLine="360"/>
        <w:contextualSpacing/>
        <w:rPr>
          <w:rFonts w:eastAsia="Calibri"/>
        </w:rPr>
      </w:pPr>
      <w:r>
        <w:rPr>
          <w:rFonts w:eastAsia="Calibri"/>
        </w:rPr>
        <w:t xml:space="preserve">             </w:t>
      </w:r>
      <w:r w:rsidRPr="00C04397">
        <w:rPr>
          <w:rFonts w:eastAsia="Calibri"/>
        </w:rPr>
        <w:t>A.</w:t>
      </w:r>
      <w:r w:rsidRPr="00C04397">
        <w:rPr>
          <w:rFonts w:eastAsia="Calibri"/>
        </w:rPr>
        <w:tab/>
      </w:r>
      <w:r>
        <w:rPr>
          <w:rFonts w:eastAsia="Calibri"/>
        </w:rPr>
        <w:t xml:space="preserve"> Unmodified Gatewell</w:t>
      </w:r>
      <w:r w:rsidRPr="00C04397">
        <w:rPr>
          <w:rFonts w:eastAsia="Calibri"/>
        </w:rPr>
        <w:t xml:space="preserve"> </w:t>
      </w:r>
      <w:r>
        <w:rPr>
          <w:rFonts w:eastAsia="Calibri"/>
        </w:rPr>
        <w:t>Slot 15C</w:t>
      </w:r>
      <w:r w:rsidRPr="00C04397">
        <w:rPr>
          <w:rFonts w:eastAsia="Calibri"/>
        </w:rPr>
        <w:t xml:space="preserve"> at upper 1% operation. </w:t>
      </w:r>
    </w:p>
    <w:p w:rsidR="00B91A45" w:rsidRDefault="00B91A45" w:rsidP="00B91A45">
      <w:pPr>
        <w:spacing w:after="200" w:line="276" w:lineRule="auto"/>
        <w:ind w:left="360" w:firstLine="360"/>
        <w:contextualSpacing/>
        <w:rPr>
          <w:rFonts w:eastAsia="Calibri"/>
        </w:rPr>
      </w:pPr>
      <w:r>
        <w:rPr>
          <w:rFonts w:eastAsia="Calibri"/>
        </w:rPr>
        <w:t xml:space="preserve">       </w:t>
      </w:r>
      <w:r w:rsidRPr="00C04397">
        <w:rPr>
          <w:rFonts w:eastAsia="Calibri"/>
        </w:rPr>
        <w:t>B.</w:t>
      </w:r>
      <w:r w:rsidRPr="00C04397">
        <w:rPr>
          <w:rFonts w:eastAsia="Calibri"/>
        </w:rPr>
        <w:tab/>
      </w:r>
      <w:r>
        <w:rPr>
          <w:rFonts w:eastAsia="Calibri"/>
        </w:rPr>
        <w:t xml:space="preserve"> </w:t>
      </w:r>
      <w:r w:rsidRPr="00C04397">
        <w:rPr>
          <w:rFonts w:eastAsia="Calibri"/>
        </w:rPr>
        <w:t xml:space="preserve">Unmodified Gatewell </w:t>
      </w:r>
      <w:r>
        <w:rPr>
          <w:rFonts w:eastAsia="Calibri"/>
        </w:rPr>
        <w:t xml:space="preserve">Slot 14A </w:t>
      </w:r>
      <w:r w:rsidRPr="00C04397">
        <w:rPr>
          <w:rFonts w:eastAsia="Calibri"/>
        </w:rPr>
        <w:t>at middle 1% operation.</w:t>
      </w:r>
    </w:p>
    <w:p w:rsidR="00B91A45" w:rsidRPr="007F566E" w:rsidRDefault="00B91A45" w:rsidP="00B91A45">
      <w:pPr>
        <w:spacing w:after="200" w:line="276" w:lineRule="auto"/>
        <w:ind w:left="1440"/>
        <w:contextualSpacing/>
        <w:rPr>
          <w:rFonts w:eastAsia="Calibri"/>
        </w:rPr>
      </w:pPr>
    </w:p>
    <w:p w:rsidR="00B91A45" w:rsidRDefault="00B91A45" w:rsidP="00B91A45">
      <w:pPr>
        <w:numPr>
          <w:ilvl w:val="0"/>
          <w:numId w:val="2"/>
        </w:numPr>
        <w:spacing w:after="200" w:line="276" w:lineRule="auto"/>
        <w:contextualSpacing/>
        <w:rPr>
          <w:rFonts w:eastAsia="Calibri"/>
        </w:rPr>
      </w:pPr>
      <w:r w:rsidRPr="007F566E">
        <w:rPr>
          <w:rFonts w:eastAsia="Calibri"/>
        </w:rPr>
        <w:t>C</w:t>
      </w:r>
      <w:r w:rsidRPr="000F34E5">
        <w:rPr>
          <w:bCs/>
        </w:rPr>
        <w:t>ompare treatment A against treatment B for Objective 3 and 4 releases</w:t>
      </w:r>
      <w:r w:rsidRPr="007F566E">
        <w:rPr>
          <w:rFonts w:eastAsia="Calibri"/>
        </w:rPr>
        <w:t xml:space="preserve">  (sample </w:t>
      </w:r>
    </w:p>
    <w:p w:rsidR="00B91A45" w:rsidRPr="007F566E" w:rsidRDefault="00B91A45" w:rsidP="00B91A45">
      <w:pPr>
        <w:spacing w:after="200" w:line="276" w:lineRule="auto"/>
        <w:ind w:left="720"/>
        <w:contextualSpacing/>
        <w:rPr>
          <w:rFonts w:eastAsia="Calibri"/>
        </w:rPr>
      </w:pPr>
      <w:r w:rsidRPr="000F34E5">
        <w:rPr>
          <w:rFonts w:eastAsia="Calibri"/>
        </w:rPr>
        <w:t>sizes shall be</w:t>
      </w:r>
      <w:r w:rsidRPr="007F566E">
        <w:rPr>
          <w:rFonts w:eastAsia="Calibri"/>
        </w:rPr>
        <w:t xml:space="preserve"> calculated to</w:t>
      </w:r>
      <w:r>
        <w:rPr>
          <w:rFonts w:eastAsia="Calibri"/>
        </w:rPr>
        <w:t xml:space="preserve"> </w:t>
      </w:r>
      <w:r w:rsidRPr="007F566E">
        <w:rPr>
          <w:rFonts w:eastAsia="Calibri"/>
        </w:rPr>
        <w:t xml:space="preserve">detect a difference in fish condition of 3% at α = 0.05). </w:t>
      </w:r>
    </w:p>
    <w:p w:rsidR="00B91A45" w:rsidRPr="007F566E" w:rsidRDefault="00B91A45" w:rsidP="00B91A45">
      <w:pPr>
        <w:spacing w:after="200" w:line="276" w:lineRule="auto"/>
        <w:ind w:left="720"/>
        <w:contextualSpacing/>
        <w:rPr>
          <w:rFonts w:eastAsia="Calibri"/>
        </w:rPr>
      </w:pPr>
    </w:p>
    <w:p w:rsidR="00B91A45" w:rsidRDefault="00B91A45" w:rsidP="00B91A45">
      <w:pPr>
        <w:numPr>
          <w:ilvl w:val="2"/>
          <w:numId w:val="2"/>
        </w:numPr>
        <w:spacing w:after="200" w:line="276" w:lineRule="auto"/>
        <w:contextualSpacing/>
        <w:rPr>
          <w:rFonts w:eastAsia="Calibri"/>
        </w:rPr>
      </w:pPr>
      <w:r w:rsidRPr="007F566E">
        <w:rPr>
          <w:rFonts w:eastAsia="Calibri"/>
        </w:rPr>
        <w:t xml:space="preserve">Fish Condition (FC): </w:t>
      </w:r>
      <w:r>
        <w:rPr>
          <w:rFonts w:eastAsia="Calibri"/>
        </w:rPr>
        <w:t xml:space="preserve">  </w:t>
      </w:r>
      <w:r w:rsidRPr="007F566E">
        <w:rPr>
          <w:rFonts w:eastAsia="Calibri"/>
        </w:rPr>
        <w:t>H</w:t>
      </w:r>
      <w:r w:rsidRPr="007F566E">
        <w:rPr>
          <w:rFonts w:eastAsia="Calibri"/>
          <w:vertAlign w:val="subscript"/>
        </w:rPr>
        <w:t>0</w:t>
      </w:r>
      <w:r w:rsidRPr="007F566E">
        <w:rPr>
          <w:rFonts w:eastAsia="Calibri"/>
        </w:rPr>
        <w:t xml:space="preserve"> = FC</w:t>
      </w:r>
      <w:r w:rsidRPr="007F566E">
        <w:rPr>
          <w:rFonts w:eastAsia="Calibri"/>
          <w:vertAlign w:val="subscript"/>
        </w:rPr>
        <w:t>upper15</w:t>
      </w:r>
      <w:r>
        <w:rPr>
          <w:rFonts w:eastAsia="Calibri"/>
          <w:vertAlign w:val="subscript"/>
        </w:rPr>
        <w:t>A</w:t>
      </w:r>
      <w:r w:rsidRPr="007F566E">
        <w:rPr>
          <w:rFonts w:eastAsia="Calibri"/>
        </w:rPr>
        <w:t xml:space="preserve"> = FC</w:t>
      </w:r>
      <w:r w:rsidRPr="007F566E">
        <w:rPr>
          <w:rFonts w:eastAsia="Calibri"/>
          <w:vertAlign w:val="subscript"/>
        </w:rPr>
        <w:t>mid14</w:t>
      </w:r>
      <w:r>
        <w:rPr>
          <w:rFonts w:eastAsia="Calibri"/>
          <w:vertAlign w:val="subscript"/>
        </w:rPr>
        <w:t>A</w:t>
      </w:r>
      <w:r w:rsidRPr="007F566E">
        <w:rPr>
          <w:rFonts w:eastAsia="Calibri"/>
        </w:rPr>
        <w:t xml:space="preserve">; </w:t>
      </w:r>
    </w:p>
    <w:p w:rsidR="00B91A45" w:rsidRDefault="00B91A45" w:rsidP="00B91A45">
      <w:pPr>
        <w:spacing w:after="200" w:line="276" w:lineRule="auto"/>
        <w:ind w:left="3600" w:firstLine="720"/>
        <w:contextualSpacing/>
        <w:rPr>
          <w:rFonts w:eastAsia="Calibri"/>
          <w:vertAlign w:val="subscript"/>
        </w:rPr>
      </w:pPr>
      <w:r w:rsidRPr="007F566E">
        <w:rPr>
          <w:rFonts w:eastAsia="Calibri"/>
        </w:rPr>
        <w:t>H</w:t>
      </w:r>
      <w:r w:rsidRPr="00D00E56">
        <w:rPr>
          <w:rFonts w:eastAsia="Calibri"/>
          <w:vertAlign w:val="subscript"/>
        </w:rPr>
        <w:t>A</w:t>
      </w:r>
      <w:r w:rsidRPr="007F566E">
        <w:rPr>
          <w:rFonts w:eastAsia="Calibri"/>
        </w:rPr>
        <w:t xml:space="preserve"> = FC</w:t>
      </w:r>
      <w:r w:rsidRPr="007F566E">
        <w:rPr>
          <w:rFonts w:eastAsia="Calibri"/>
          <w:vertAlign w:val="subscript"/>
        </w:rPr>
        <w:t>upper15</w:t>
      </w:r>
      <w:r>
        <w:rPr>
          <w:rFonts w:eastAsia="Calibri"/>
          <w:vertAlign w:val="subscript"/>
        </w:rPr>
        <w:t>A</w:t>
      </w:r>
      <w:r w:rsidRPr="007F566E">
        <w:rPr>
          <w:rFonts w:eastAsia="Calibri"/>
        </w:rPr>
        <w:t>≠FC</w:t>
      </w:r>
      <w:r w:rsidRPr="007F566E">
        <w:rPr>
          <w:rFonts w:eastAsia="Calibri"/>
          <w:vertAlign w:val="subscript"/>
        </w:rPr>
        <w:t>mid14</w:t>
      </w:r>
      <w:r>
        <w:rPr>
          <w:rFonts w:eastAsia="Calibri"/>
          <w:vertAlign w:val="subscript"/>
        </w:rPr>
        <w:t>A</w:t>
      </w:r>
    </w:p>
    <w:p w:rsidR="00B91A45" w:rsidRDefault="00B91A45" w:rsidP="00B91A45">
      <w:pPr>
        <w:spacing w:after="200" w:line="276" w:lineRule="auto"/>
        <w:ind w:left="3600" w:firstLine="720"/>
        <w:contextualSpacing/>
        <w:rPr>
          <w:rFonts w:eastAsia="Calibri"/>
          <w:vertAlign w:val="subscript"/>
        </w:rPr>
      </w:pPr>
    </w:p>
    <w:p w:rsidR="00B91A45" w:rsidRDefault="00B91A45" w:rsidP="00B91A45">
      <w:pPr>
        <w:numPr>
          <w:ilvl w:val="2"/>
          <w:numId w:val="2"/>
        </w:numPr>
        <w:spacing w:after="200" w:line="276" w:lineRule="auto"/>
        <w:contextualSpacing/>
        <w:rPr>
          <w:rFonts w:eastAsia="Calibri"/>
        </w:rPr>
      </w:pPr>
      <w:r w:rsidRPr="007F566E">
        <w:rPr>
          <w:rFonts w:eastAsia="Calibri"/>
        </w:rPr>
        <w:t xml:space="preserve">Gatewell Residence Time (GRT): </w:t>
      </w:r>
      <w:r>
        <w:rPr>
          <w:rFonts w:eastAsia="Calibri"/>
        </w:rPr>
        <w:t xml:space="preserve"> </w:t>
      </w:r>
      <w:r w:rsidRPr="007F566E">
        <w:rPr>
          <w:rFonts w:eastAsia="Calibri"/>
        </w:rPr>
        <w:t>H</w:t>
      </w:r>
      <w:r w:rsidRPr="007F566E">
        <w:rPr>
          <w:rFonts w:eastAsia="Calibri"/>
          <w:vertAlign w:val="subscript"/>
        </w:rPr>
        <w:t>0</w:t>
      </w:r>
      <w:r w:rsidRPr="007F566E">
        <w:rPr>
          <w:rFonts w:eastAsia="Calibri"/>
        </w:rPr>
        <w:t xml:space="preserve"> = GRT</w:t>
      </w:r>
      <w:r w:rsidRPr="007F566E">
        <w:rPr>
          <w:rFonts w:eastAsia="Calibri"/>
          <w:vertAlign w:val="subscript"/>
        </w:rPr>
        <w:t>upper15</w:t>
      </w:r>
      <w:r>
        <w:rPr>
          <w:rFonts w:eastAsia="Calibri"/>
          <w:vertAlign w:val="subscript"/>
        </w:rPr>
        <w:t>A</w:t>
      </w:r>
      <w:r w:rsidRPr="007F566E">
        <w:rPr>
          <w:rFonts w:eastAsia="Calibri"/>
        </w:rPr>
        <w:t xml:space="preserve"> = GRT</w:t>
      </w:r>
      <w:r w:rsidRPr="007F566E">
        <w:rPr>
          <w:rFonts w:eastAsia="Calibri"/>
          <w:vertAlign w:val="subscript"/>
        </w:rPr>
        <w:t>mid14</w:t>
      </w:r>
      <w:r>
        <w:rPr>
          <w:rFonts w:eastAsia="Calibri"/>
          <w:vertAlign w:val="subscript"/>
        </w:rPr>
        <w:t>A</w:t>
      </w:r>
      <w:r w:rsidRPr="007F566E">
        <w:rPr>
          <w:rFonts w:eastAsia="Calibri"/>
        </w:rPr>
        <w:t xml:space="preserve">; </w:t>
      </w:r>
    </w:p>
    <w:p w:rsidR="00B91A45" w:rsidRPr="00415DF0" w:rsidRDefault="00B91A45" w:rsidP="00B91A45">
      <w:pPr>
        <w:spacing w:after="200" w:line="276" w:lineRule="auto"/>
        <w:ind w:left="4320" w:firstLine="720"/>
        <w:contextualSpacing/>
        <w:rPr>
          <w:rFonts w:eastAsia="Calibri"/>
          <w:vertAlign w:val="subscript"/>
        </w:rPr>
      </w:pPr>
      <w:r>
        <w:rPr>
          <w:rFonts w:eastAsia="Calibri"/>
        </w:rPr>
        <w:t xml:space="preserve">        </w:t>
      </w:r>
      <w:r w:rsidRPr="007F566E">
        <w:rPr>
          <w:rFonts w:eastAsia="Calibri"/>
        </w:rPr>
        <w:t>H</w:t>
      </w:r>
      <w:r w:rsidRPr="007F566E">
        <w:rPr>
          <w:rFonts w:eastAsia="Calibri"/>
          <w:vertAlign w:val="subscript"/>
        </w:rPr>
        <w:t>A</w:t>
      </w:r>
      <w:r w:rsidRPr="007F566E">
        <w:rPr>
          <w:rFonts w:eastAsia="Calibri"/>
        </w:rPr>
        <w:t xml:space="preserve"> = GRT</w:t>
      </w:r>
      <w:r w:rsidRPr="007F566E">
        <w:rPr>
          <w:rFonts w:eastAsia="Calibri"/>
          <w:vertAlign w:val="subscript"/>
        </w:rPr>
        <w:t>upper15</w:t>
      </w:r>
      <w:r>
        <w:rPr>
          <w:rFonts w:eastAsia="Calibri"/>
          <w:vertAlign w:val="subscript"/>
        </w:rPr>
        <w:t>A</w:t>
      </w:r>
      <w:r w:rsidRPr="007F566E">
        <w:rPr>
          <w:rFonts w:eastAsia="Calibri"/>
        </w:rPr>
        <w:t>≠GRT</w:t>
      </w:r>
      <w:r w:rsidRPr="007F566E">
        <w:rPr>
          <w:rFonts w:eastAsia="Calibri"/>
          <w:vertAlign w:val="subscript"/>
        </w:rPr>
        <w:t>mid14</w:t>
      </w:r>
      <w:r>
        <w:rPr>
          <w:rFonts w:eastAsia="Calibri"/>
          <w:vertAlign w:val="subscript"/>
        </w:rPr>
        <w:t>A</w:t>
      </w:r>
    </w:p>
    <w:p w:rsidR="00B91A45" w:rsidRPr="007169DC" w:rsidRDefault="00B91A45" w:rsidP="00B91A45">
      <w:pPr>
        <w:spacing w:after="200" w:line="276" w:lineRule="auto"/>
        <w:ind w:left="2160"/>
        <w:contextualSpacing/>
        <w:rPr>
          <w:rFonts w:eastAsia="Calibri"/>
        </w:rPr>
      </w:pPr>
    </w:p>
    <w:p w:rsidR="00B91A45" w:rsidRDefault="00B91A45" w:rsidP="00B91A45">
      <w:pPr>
        <w:numPr>
          <w:ilvl w:val="2"/>
          <w:numId w:val="2"/>
        </w:numPr>
        <w:spacing w:after="200" w:line="276" w:lineRule="auto"/>
        <w:contextualSpacing/>
        <w:rPr>
          <w:rFonts w:eastAsia="Calibri"/>
        </w:rPr>
      </w:pPr>
      <w:r w:rsidRPr="007F566E">
        <w:rPr>
          <w:rFonts w:eastAsia="Calibri"/>
        </w:rPr>
        <w:t xml:space="preserve">Fish Condition (FC): </w:t>
      </w:r>
      <w:r>
        <w:rPr>
          <w:rFonts w:eastAsia="Calibri"/>
        </w:rPr>
        <w:t xml:space="preserve">  </w:t>
      </w:r>
      <w:r w:rsidRPr="007F566E">
        <w:rPr>
          <w:rFonts w:eastAsia="Calibri"/>
        </w:rPr>
        <w:t>H</w:t>
      </w:r>
      <w:r w:rsidRPr="007F566E">
        <w:rPr>
          <w:rFonts w:eastAsia="Calibri"/>
          <w:vertAlign w:val="subscript"/>
        </w:rPr>
        <w:t>0</w:t>
      </w:r>
      <w:r w:rsidRPr="007F566E">
        <w:rPr>
          <w:rFonts w:eastAsia="Calibri"/>
        </w:rPr>
        <w:t xml:space="preserve"> = FC</w:t>
      </w:r>
      <w:r w:rsidRPr="007F566E">
        <w:rPr>
          <w:rFonts w:eastAsia="Calibri"/>
          <w:vertAlign w:val="subscript"/>
        </w:rPr>
        <w:t>upper1</w:t>
      </w:r>
      <w:r>
        <w:rPr>
          <w:rFonts w:eastAsia="Calibri"/>
          <w:vertAlign w:val="subscript"/>
        </w:rPr>
        <w:t>5C</w:t>
      </w:r>
      <w:r w:rsidRPr="007F566E">
        <w:rPr>
          <w:rFonts w:eastAsia="Calibri"/>
        </w:rPr>
        <w:t xml:space="preserve"> = FC</w:t>
      </w:r>
      <w:r w:rsidRPr="007F566E">
        <w:rPr>
          <w:rFonts w:eastAsia="Calibri"/>
          <w:vertAlign w:val="subscript"/>
        </w:rPr>
        <w:t>mid14</w:t>
      </w:r>
      <w:r>
        <w:rPr>
          <w:rFonts w:eastAsia="Calibri"/>
          <w:vertAlign w:val="subscript"/>
        </w:rPr>
        <w:t>A</w:t>
      </w:r>
      <w:r w:rsidRPr="007F566E">
        <w:rPr>
          <w:rFonts w:eastAsia="Calibri"/>
        </w:rPr>
        <w:t xml:space="preserve">; </w:t>
      </w:r>
    </w:p>
    <w:p w:rsidR="00B91A45" w:rsidRDefault="00B91A45" w:rsidP="00B91A45">
      <w:pPr>
        <w:spacing w:after="200" w:line="276" w:lineRule="auto"/>
        <w:ind w:left="3600" w:firstLine="720"/>
        <w:contextualSpacing/>
        <w:rPr>
          <w:rFonts w:eastAsia="Calibri"/>
          <w:vertAlign w:val="subscript"/>
        </w:rPr>
      </w:pPr>
      <w:r w:rsidRPr="007F566E">
        <w:rPr>
          <w:rFonts w:eastAsia="Calibri"/>
        </w:rPr>
        <w:t>H</w:t>
      </w:r>
      <w:r w:rsidRPr="00D00E56">
        <w:rPr>
          <w:rFonts w:eastAsia="Calibri"/>
          <w:vertAlign w:val="subscript"/>
        </w:rPr>
        <w:t>A</w:t>
      </w:r>
      <w:r w:rsidRPr="007F566E">
        <w:rPr>
          <w:rFonts w:eastAsia="Calibri"/>
        </w:rPr>
        <w:t xml:space="preserve"> = FC</w:t>
      </w:r>
      <w:r w:rsidRPr="007F566E">
        <w:rPr>
          <w:rFonts w:eastAsia="Calibri"/>
          <w:vertAlign w:val="subscript"/>
        </w:rPr>
        <w:t>upper</w:t>
      </w:r>
      <w:r>
        <w:rPr>
          <w:rFonts w:eastAsia="Calibri"/>
          <w:vertAlign w:val="subscript"/>
        </w:rPr>
        <w:t>15C</w:t>
      </w:r>
      <w:r w:rsidRPr="007F566E">
        <w:rPr>
          <w:rFonts w:eastAsia="Calibri"/>
        </w:rPr>
        <w:t>≠FC</w:t>
      </w:r>
      <w:r w:rsidRPr="007F566E">
        <w:rPr>
          <w:rFonts w:eastAsia="Calibri"/>
          <w:vertAlign w:val="subscript"/>
        </w:rPr>
        <w:t>mid14</w:t>
      </w:r>
      <w:r>
        <w:rPr>
          <w:rFonts w:eastAsia="Calibri"/>
          <w:vertAlign w:val="subscript"/>
        </w:rPr>
        <w:t>A</w:t>
      </w:r>
    </w:p>
    <w:p w:rsidR="00B91A45" w:rsidRDefault="00B91A45" w:rsidP="00B91A45">
      <w:pPr>
        <w:spacing w:after="200" w:line="276" w:lineRule="auto"/>
        <w:ind w:left="3600" w:firstLine="720"/>
        <w:contextualSpacing/>
        <w:rPr>
          <w:rFonts w:eastAsia="Calibri"/>
          <w:vertAlign w:val="subscript"/>
        </w:rPr>
      </w:pPr>
    </w:p>
    <w:p w:rsidR="00B91A45" w:rsidRDefault="00B91A45" w:rsidP="00B91A45">
      <w:pPr>
        <w:numPr>
          <w:ilvl w:val="2"/>
          <w:numId w:val="2"/>
        </w:numPr>
        <w:spacing w:after="200" w:line="276" w:lineRule="auto"/>
        <w:contextualSpacing/>
        <w:rPr>
          <w:rFonts w:eastAsia="Calibri"/>
        </w:rPr>
      </w:pPr>
      <w:r w:rsidRPr="007F566E">
        <w:rPr>
          <w:rFonts w:eastAsia="Calibri"/>
        </w:rPr>
        <w:t xml:space="preserve">Gatewell Residence Time (GRT): </w:t>
      </w:r>
      <w:r>
        <w:rPr>
          <w:rFonts w:eastAsia="Calibri"/>
        </w:rPr>
        <w:t xml:space="preserve"> </w:t>
      </w:r>
      <w:r w:rsidRPr="007F566E">
        <w:rPr>
          <w:rFonts w:eastAsia="Calibri"/>
        </w:rPr>
        <w:t>H</w:t>
      </w:r>
      <w:r w:rsidRPr="007F566E">
        <w:rPr>
          <w:rFonts w:eastAsia="Calibri"/>
          <w:vertAlign w:val="subscript"/>
        </w:rPr>
        <w:t>0</w:t>
      </w:r>
      <w:r w:rsidRPr="007F566E">
        <w:rPr>
          <w:rFonts w:eastAsia="Calibri"/>
        </w:rPr>
        <w:t xml:space="preserve"> = GRT</w:t>
      </w:r>
      <w:r w:rsidRPr="007F566E">
        <w:rPr>
          <w:rFonts w:eastAsia="Calibri"/>
          <w:vertAlign w:val="subscript"/>
        </w:rPr>
        <w:t>upper</w:t>
      </w:r>
      <w:r>
        <w:rPr>
          <w:rFonts w:eastAsia="Calibri"/>
          <w:vertAlign w:val="subscript"/>
        </w:rPr>
        <w:t>15C</w:t>
      </w:r>
      <w:r w:rsidRPr="007F566E">
        <w:rPr>
          <w:rFonts w:eastAsia="Calibri"/>
        </w:rPr>
        <w:t xml:space="preserve"> = GRT</w:t>
      </w:r>
      <w:r w:rsidRPr="007F566E">
        <w:rPr>
          <w:rFonts w:eastAsia="Calibri"/>
          <w:vertAlign w:val="subscript"/>
        </w:rPr>
        <w:t>mid14</w:t>
      </w:r>
      <w:r>
        <w:rPr>
          <w:rFonts w:eastAsia="Calibri"/>
          <w:vertAlign w:val="subscript"/>
        </w:rPr>
        <w:t>A</w:t>
      </w:r>
      <w:r w:rsidRPr="007F566E">
        <w:rPr>
          <w:rFonts w:eastAsia="Calibri"/>
        </w:rPr>
        <w:t xml:space="preserve">; </w:t>
      </w:r>
    </w:p>
    <w:p w:rsidR="00B91A45" w:rsidRDefault="00B91A45" w:rsidP="00B91A45">
      <w:pPr>
        <w:rPr>
          <w:b/>
          <w:bCs/>
        </w:rPr>
      </w:pP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r w:rsidRPr="007F566E">
        <w:rPr>
          <w:rFonts w:eastAsia="Calibri"/>
        </w:rPr>
        <w:t>H</w:t>
      </w:r>
      <w:r w:rsidRPr="007F566E">
        <w:rPr>
          <w:rFonts w:eastAsia="Calibri"/>
          <w:vertAlign w:val="subscript"/>
        </w:rPr>
        <w:t>A</w:t>
      </w:r>
      <w:r w:rsidRPr="007F566E">
        <w:rPr>
          <w:rFonts w:eastAsia="Calibri"/>
        </w:rPr>
        <w:t xml:space="preserve"> = GRT</w:t>
      </w:r>
      <w:r w:rsidRPr="007F566E">
        <w:rPr>
          <w:rFonts w:eastAsia="Calibri"/>
          <w:vertAlign w:val="subscript"/>
        </w:rPr>
        <w:t>upper1</w:t>
      </w:r>
      <w:r>
        <w:rPr>
          <w:rFonts w:eastAsia="Calibri"/>
          <w:vertAlign w:val="subscript"/>
        </w:rPr>
        <w:t>5C</w:t>
      </w:r>
      <w:r w:rsidRPr="007F566E">
        <w:rPr>
          <w:rFonts w:eastAsia="Calibri"/>
        </w:rPr>
        <w:t>≠GRT</w:t>
      </w:r>
      <w:r w:rsidRPr="007F566E">
        <w:rPr>
          <w:rFonts w:eastAsia="Calibri"/>
          <w:vertAlign w:val="subscript"/>
        </w:rPr>
        <w:t>mid14</w:t>
      </w:r>
      <w:r>
        <w:rPr>
          <w:rFonts w:eastAsia="Calibri"/>
          <w:vertAlign w:val="subscript"/>
        </w:rPr>
        <w:t>A</w:t>
      </w:r>
    </w:p>
    <w:p w:rsidR="00B91A45" w:rsidRDefault="00B91A45" w:rsidP="00B47F9D"/>
    <w:p w:rsidR="00E179FD" w:rsidRDefault="00E179FD" w:rsidP="00B47F9D"/>
    <w:p w:rsidR="00E179FD" w:rsidRDefault="00E179FD" w:rsidP="005A0DB0">
      <w:pPr>
        <w:tabs>
          <w:tab w:val="left" w:pos="3780"/>
        </w:tabs>
      </w:pPr>
      <w:r>
        <w:t>The above metrics</w:t>
      </w:r>
      <w:r w:rsidR="00D24493">
        <w:t xml:space="preserve"> were used to </w:t>
      </w:r>
      <w:r w:rsidR="002E1012">
        <w:t>provide estimates for objectives 3 and 4 (Note means and se’s in Tables 1a</w:t>
      </w:r>
      <w:r w:rsidR="00312EB9">
        <w:t>, 1b, 2a, and 2b</w:t>
      </w:r>
      <w:r w:rsidR="002E1012">
        <w:t xml:space="preserve">) and to </w:t>
      </w:r>
      <w:r w:rsidR="00D24493">
        <w:t>make comparisons for objective 5 using paired t-tests.</w:t>
      </w:r>
      <w:r w:rsidR="002E1012">
        <w:t xml:space="preserve">  Results are in Tables 2a and 2b and visually represented in Figures </w:t>
      </w:r>
      <w:r w:rsidR="00235AB3">
        <w:t>6-8</w:t>
      </w:r>
      <w:r w:rsidR="002E1012">
        <w:t>.</w:t>
      </w:r>
      <w:r w:rsidR="00D01C56">
        <w:t xml:space="preserve">  These preliminary results suggest that </w:t>
      </w:r>
      <w:r w:rsidR="003836F6">
        <w:t xml:space="preserve">mortality </w:t>
      </w:r>
      <w:r w:rsidR="00D01C56">
        <w:t xml:space="preserve">for comparison “i.” above </w:t>
      </w:r>
      <w:r w:rsidR="00050D76">
        <w:t>wa</w:t>
      </w:r>
      <w:r w:rsidR="00D01C56">
        <w:t>s</w:t>
      </w:r>
      <w:r w:rsidR="00050D76">
        <w:t xml:space="preserve"> significantly higher in Unit 14A than in Unit 15A</w:t>
      </w:r>
      <w:r w:rsidR="00D01C56">
        <w:t xml:space="preserve"> </w:t>
      </w:r>
      <w:r w:rsidR="00050D76">
        <w:t>using the observed sample mortality (</w:t>
      </w:r>
      <w:r w:rsidR="00050D76" w:rsidRPr="00A14750">
        <w:rPr>
          <w:i/>
        </w:rPr>
        <w:t>P</w:t>
      </w:r>
      <w:r w:rsidR="00050D76">
        <w:t xml:space="preserve"> &lt; 0.001) but using the maximum estimated mortality it was </w:t>
      </w:r>
      <w:r w:rsidR="00D01C56">
        <w:t xml:space="preserve">undetermined since the first 6 groups had higher mortality in Unit 14A but the </w:t>
      </w:r>
      <w:r w:rsidR="00D01C56">
        <w:lastRenderedPageBreak/>
        <w:t>last 6 groups had lower for a non-significant difference overall (</w:t>
      </w:r>
      <w:r w:rsidR="00D01C56" w:rsidRPr="00A14750">
        <w:rPr>
          <w:i/>
        </w:rPr>
        <w:t>P</w:t>
      </w:r>
      <w:r w:rsidR="00D01C56">
        <w:t>=0.7</w:t>
      </w:r>
      <w:r w:rsidR="007731F5">
        <w:t>0</w:t>
      </w:r>
      <w:r w:rsidR="00D01C56">
        <w:t>5).</w:t>
      </w:r>
      <w:r w:rsidR="003836F6">
        <w:t xml:space="preserve"> </w:t>
      </w:r>
      <w:r w:rsidR="00050D76">
        <w:t>For the latter metric, d</w:t>
      </w:r>
      <w:r w:rsidR="003836F6">
        <w:t>ividing the data into the “obvious” groupings, the early part (releases on 1-6 April showed significantly higher mortality in Unit 14A (</w:t>
      </w:r>
      <w:r w:rsidR="003836F6" w:rsidRPr="00A14750">
        <w:rPr>
          <w:i/>
        </w:rPr>
        <w:t>P</w:t>
      </w:r>
      <w:r w:rsidR="003836F6">
        <w:t xml:space="preserve"> = 0.003) and for 7 April-7 May showed significantly lower mortality in Unit 14A (</w:t>
      </w:r>
      <w:r w:rsidR="003836F6" w:rsidRPr="00A14750">
        <w:rPr>
          <w:i/>
        </w:rPr>
        <w:t>P</w:t>
      </w:r>
      <w:r w:rsidR="003836F6">
        <w:t xml:space="preserve"> =0.021)</w:t>
      </w:r>
      <w:r w:rsidR="00D01C56">
        <w:t xml:space="preserve"> For comparison “iii.” above, there </w:t>
      </w:r>
      <w:r w:rsidR="005A0DB0">
        <w:t>wa</w:t>
      </w:r>
      <w:r w:rsidR="00D01C56">
        <w:t xml:space="preserve">s </w:t>
      </w:r>
      <w:r w:rsidR="00050D76">
        <w:t>a</w:t>
      </w:r>
      <w:r w:rsidR="00D01C56">
        <w:t xml:space="preserve"> significant difference in</w:t>
      </w:r>
      <w:r w:rsidR="00050D76">
        <w:t xml:space="preserve"> mortality using either the observed metric (Unit 14A</w:t>
      </w:r>
      <w:r w:rsidR="00A14750">
        <w:t xml:space="preserve"> &gt; Unit 15C by 1.5%, </w:t>
      </w:r>
      <w:r w:rsidR="00A14750" w:rsidRPr="00A14750">
        <w:rPr>
          <w:i/>
        </w:rPr>
        <w:t>P</w:t>
      </w:r>
      <w:r w:rsidR="00A14750">
        <w:t xml:space="preserve"> = 0.029) but not significant using the</w:t>
      </w:r>
      <w:r w:rsidR="00050D76">
        <w:t xml:space="preserve"> maximum estimated </w:t>
      </w:r>
      <w:r w:rsidR="00A14750">
        <w:t xml:space="preserve">mortality </w:t>
      </w:r>
      <w:r w:rsidR="00050D76">
        <w:t>metric</w:t>
      </w:r>
      <w:r w:rsidR="005A0DB0">
        <w:t xml:space="preserve"> (</w:t>
      </w:r>
      <w:r w:rsidR="00A14750">
        <w:t xml:space="preserve">Unit 14A &lt; Unit 15C by 1.1%, </w:t>
      </w:r>
      <w:r w:rsidR="005A0DB0" w:rsidRPr="00A14750">
        <w:rPr>
          <w:i/>
        </w:rPr>
        <w:t>P</w:t>
      </w:r>
      <w:r w:rsidR="005A0DB0">
        <w:t xml:space="preserve"> = 0.549)</w:t>
      </w:r>
      <w:r w:rsidR="00D01C56">
        <w:t xml:space="preserve">. </w:t>
      </w:r>
      <w:r w:rsidR="005A0DB0">
        <w:t xml:space="preserve"> </w:t>
      </w:r>
      <w:r w:rsidR="00D01C56">
        <w:t xml:space="preserve">For comparison “ii.” </w:t>
      </w:r>
      <w:r w:rsidR="00A14750">
        <w:t>a</w:t>
      </w:r>
      <w:r w:rsidR="00D01C56">
        <w:t xml:space="preserve">bove, Gatewell Residence Time was around </w:t>
      </w:r>
      <w:r w:rsidR="00DC7CA5">
        <w:t>three</w:t>
      </w:r>
      <w:r w:rsidR="00D01C56">
        <w:t xml:space="preserve"> hours significantly</w:t>
      </w:r>
      <w:bookmarkStart w:id="1" w:name="_GoBack"/>
      <w:bookmarkEnd w:id="1"/>
      <w:r w:rsidR="00D01C56">
        <w:t xml:space="preserve"> longer</w:t>
      </w:r>
      <w:r w:rsidR="004C4021">
        <w:t xml:space="preserve"> than</w:t>
      </w:r>
      <w:r w:rsidR="00D01C56">
        <w:t xml:space="preserve"> for Unit 15A (</w:t>
      </w:r>
      <w:r w:rsidR="00D01C56" w:rsidRPr="00A14750">
        <w:rPr>
          <w:i/>
        </w:rPr>
        <w:t>P</w:t>
      </w:r>
      <w:r w:rsidR="00D01C56">
        <w:t xml:space="preserve"> = 0.0</w:t>
      </w:r>
      <w:r w:rsidR="003836F6">
        <w:t>21</w:t>
      </w:r>
      <w:r w:rsidR="00D01C56">
        <w:t>)</w:t>
      </w:r>
      <w:r w:rsidR="005A0DB0">
        <w:t xml:space="preserve"> but not different at all for Unit 15C (</w:t>
      </w:r>
      <w:r w:rsidR="005A0DB0" w:rsidRPr="00A14750">
        <w:rPr>
          <w:i/>
        </w:rPr>
        <w:t>P</w:t>
      </w:r>
      <w:r w:rsidR="005A0DB0">
        <w:t xml:space="preserve"> = 0.</w:t>
      </w:r>
      <w:r w:rsidR="003836F6">
        <w:t>402</w:t>
      </w:r>
      <w:r w:rsidR="005A0DB0">
        <w:t>).  Further, perhaps more complex</w:t>
      </w:r>
      <w:r w:rsidR="003836F6">
        <w:t>,</w:t>
      </w:r>
      <w:r w:rsidR="005A0DB0">
        <w:t xml:space="preserve"> analysis will be explored to examine these patterns.</w:t>
      </w:r>
    </w:p>
    <w:p w:rsidR="00D60325" w:rsidRDefault="00D60325" w:rsidP="005A0DB0">
      <w:pPr>
        <w:tabs>
          <w:tab w:val="left" w:pos="3780"/>
        </w:tabs>
      </w:pPr>
    </w:p>
    <w:p w:rsidR="00D60325" w:rsidRDefault="00D60325" w:rsidP="005A0DB0">
      <w:pPr>
        <w:tabs>
          <w:tab w:val="left" w:pos="3780"/>
        </w:tabs>
      </w:pPr>
      <w:r>
        <w:t xml:space="preserve">Boxplots of Gatewell Residence Time distributions are in </w:t>
      </w:r>
      <w:r w:rsidR="007307B0">
        <w:t xml:space="preserve">the </w:t>
      </w:r>
      <w:r>
        <w:t>Appendix.</w:t>
      </w:r>
      <w:r w:rsidR="007307B0">
        <w:t xml:space="preserve">  Fish that were observed as mortalities at the JFMF Sort-by-Code sample had somewhat longer times than live fish (Figure A1).  This difference needs to be discussed.  There were not generally large differences in median Gatewell Residence Time as noted in Table 3a and 3b, but there were some observed differences in the shape of the distributions (Figures A2 and A3).</w:t>
      </w:r>
    </w:p>
    <w:p w:rsidR="00AD50EE" w:rsidRDefault="00AD50EE" w:rsidP="00B47F9D"/>
    <w:p w:rsidR="00AD50EE" w:rsidRDefault="00AD50EE" w:rsidP="00B47F9D"/>
    <w:p w:rsidR="002E1012" w:rsidRDefault="002E1012"/>
    <w:p w:rsidR="00AD50EE" w:rsidRDefault="00AD50EE" w:rsidP="00312EB9">
      <w:pPr>
        <w:ind w:left="1080" w:hanging="1080"/>
      </w:pPr>
      <w:r>
        <w:t xml:space="preserve">Table </w:t>
      </w:r>
      <w:r w:rsidR="00312EB9">
        <w:t>3</w:t>
      </w:r>
      <w:r>
        <w:t>a.  Paired differences for metrics comparing conditions in Unit 14A and 15A gatewells in 2015 at Bonneville Dam 2</w:t>
      </w:r>
      <w:r w:rsidRPr="00AD50EE">
        <w:rPr>
          <w:vertAlign w:val="superscript"/>
        </w:rPr>
        <w:t>nd</w:t>
      </w:r>
      <w:r>
        <w:t xml:space="preserve"> Powerhouse</w:t>
      </w:r>
      <w:r w:rsidR="00312EB9">
        <w:t>.</w:t>
      </w:r>
    </w:p>
    <w:tbl>
      <w:tblPr>
        <w:tblW w:w="10139" w:type="dxa"/>
        <w:tblInd w:w="108" w:type="dxa"/>
        <w:tblLook w:val="04A0"/>
      </w:tblPr>
      <w:tblGrid>
        <w:gridCol w:w="1530"/>
        <w:gridCol w:w="1157"/>
        <w:gridCol w:w="1183"/>
        <w:gridCol w:w="1427"/>
        <w:gridCol w:w="1475"/>
        <w:gridCol w:w="1157"/>
        <w:gridCol w:w="981"/>
        <w:gridCol w:w="1229"/>
      </w:tblGrid>
      <w:tr w:rsidR="00E81E5D"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Median Gatewell</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1229"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r>
      <w:tr w:rsidR="00E81E5D"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Release</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ObsProp</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RecapProp</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ObsMortProp</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MaxMortProp</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Residence Time (d)</w:t>
            </w:r>
          </w:p>
        </w:tc>
        <w:tc>
          <w:tcPr>
            <w:tcW w:w="2210" w:type="dxa"/>
            <w:gridSpan w:val="2"/>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MaxMortProp Difference</w:t>
            </w:r>
          </w:p>
        </w:tc>
      </w:tr>
      <w:tr w:rsidR="00235AB3" w:rsidRPr="00235AB3" w:rsidTr="00E81E5D">
        <w:trPr>
          <w:trHeight w:val="300"/>
        </w:trPr>
        <w:tc>
          <w:tcPr>
            <w:tcW w:w="1530"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Date</w:t>
            </w:r>
          </w:p>
        </w:tc>
        <w:tc>
          <w:tcPr>
            <w:tcW w:w="1157"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Difference</w:t>
            </w:r>
          </w:p>
        </w:tc>
        <w:tc>
          <w:tcPr>
            <w:tcW w:w="1183"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Difference</w:t>
            </w:r>
          </w:p>
        </w:tc>
        <w:tc>
          <w:tcPr>
            <w:tcW w:w="1427"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Difference</w:t>
            </w:r>
          </w:p>
        </w:tc>
        <w:tc>
          <w:tcPr>
            <w:tcW w:w="1475"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Difference</w:t>
            </w:r>
          </w:p>
        </w:tc>
        <w:tc>
          <w:tcPr>
            <w:tcW w:w="1157"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Difference</w:t>
            </w:r>
          </w:p>
        </w:tc>
        <w:tc>
          <w:tcPr>
            <w:tcW w:w="981"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4/1 - 4/6</w:t>
            </w:r>
          </w:p>
        </w:tc>
        <w:tc>
          <w:tcPr>
            <w:tcW w:w="1229"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4/7 - 5/7</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4/1</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-0.020</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-0.022</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0.187</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0.194</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0.011</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0.194</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808080"/>
                <w:sz w:val="22"/>
              </w:rPr>
            </w:pP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4/2</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-0.042</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0.025</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0.096</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0.129</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0.022</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0.129</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4/3</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0.078</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-0.010</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0.292</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0.202</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0.209</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0.202</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4/4</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0.010</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-0.022</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0.212</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0.185</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-0.002</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0.185</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4/5</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0.030</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-0.032</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0.443</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0.378</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0.290</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0.378</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4/6</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0.111</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-0.031</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0.340</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0.213</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0.288</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0.213</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4/7</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0.296</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-0.017</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0.290</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-0.017</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0.146</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-0.017</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4/8</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0.340</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-0.036</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0.133</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-0.195</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-0.032</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-0.195</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4/9</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0.390</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-0.034</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0.305</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-0.087</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0.222</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-0.087</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4/21</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0.436</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0.039</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0.037</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-0.366</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0.431</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-0.366</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4/23</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0.129</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-0.072</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0.054</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-0.079</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-0.035</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-0.079</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5/5</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0.192</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-0.028</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0.024</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-0.167</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0.007</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-0.167</w:t>
            </w:r>
          </w:p>
        </w:tc>
      </w:tr>
      <w:tr w:rsidR="00235AB3" w:rsidRPr="00235AB3" w:rsidTr="00E81E5D">
        <w:trPr>
          <w:trHeight w:val="300"/>
        </w:trPr>
        <w:tc>
          <w:tcPr>
            <w:tcW w:w="1530"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5/7</w:t>
            </w:r>
          </w:p>
        </w:tc>
        <w:tc>
          <w:tcPr>
            <w:tcW w:w="1157"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0.132</w:t>
            </w:r>
          </w:p>
        </w:tc>
        <w:tc>
          <w:tcPr>
            <w:tcW w:w="1183"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-0.029</w:t>
            </w:r>
          </w:p>
        </w:tc>
        <w:tc>
          <w:tcPr>
            <w:tcW w:w="1427"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0.038</w:t>
            </w:r>
          </w:p>
        </w:tc>
        <w:tc>
          <w:tcPr>
            <w:tcW w:w="1475"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-0.095</w:t>
            </w:r>
          </w:p>
        </w:tc>
        <w:tc>
          <w:tcPr>
            <w:tcW w:w="1157"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-0.048</w:t>
            </w:r>
          </w:p>
        </w:tc>
        <w:tc>
          <w:tcPr>
            <w:tcW w:w="981" w:type="dxa"/>
            <w:tcBorders>
              <w:top w:val="nil"/>
              <w:left w:val="nil"/>
              <w:bottom w:val="single" w:sz="4" w:space="0" w:color="auto"/>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r w:rsidRPr="00235AB3">
              <w:rPr>
                <w:rFonts w:eastAsia="Times New Roman" w:cs="Times New Roman"/>
                <w:color w:val="000000"/>
                <w:sz w:val="22"/>
              </w:rPr>
              <w:t> </w:t>
            </w:r>
          </w:p>
        </w:tc>
        <w:tc>
          <w:tcPr>
            <w:tcW w:w="1229"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-0.095</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0.160</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-0.021</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0.189</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0.023</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0.116</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0.217</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-0.144</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0.044</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0.008</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0.038</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0.058</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0.044</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0.034</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0.043</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r w:rsidRPr="00235AB3">
              <w:rPr>
                <w:rFonts w:eastAsia="Times New Roman" w:cs="Times New Roman"/>
                <w:color w:val="000000"/>
                <w:sz w:val="22"/>
              </w:rPr>
              <w:t>t</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3.625</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-2.681</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4.958</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0.388</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2.664</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6.320</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-3.328</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r w:rsidRPr="00235AB3">
              <w:rPr>
                <w:rFonts w:eastAsia="Times New Roman" w:cs="Times New Roman"/>
                <w:color w:val="000000"/>
                <w:sz w:val="22"/>
              </w:rPr>
              <w:t>df</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12</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12</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12</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11</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12</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4</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r w:rsidRPr="00235AB3">
              <w:rPr>
                <w:rFonts w:eastAsia="Times New Roman" w:cs="Times New Roman"/>
                <w:color w:val="000000"/>
                <w:sz w:val="22"/>
              </w:rPr>
              <w:t>P-value</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0.003</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0.020</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0.000</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0.705</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0.021</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0.003</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0.021</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r w:rsidRPr="00235AB3">
              <w:rPr>
                <w:rFonts w:eastAsia="Times New Roman" w:cs="Times New Roman"/>
                <w:color w:val="000000"/>
                <w:sz w:val="22"/>
              </w:rPr>
              <w:t>95% CI Lower</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0.064</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-0.037</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0.106</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-0.106</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0.021</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0.122</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-0.255</w:t>
            </w:r>
          </w:p>
        </w:tc>
      </w:tr>
      <w:tr w:rsidR="00235AB3" w:rsidRPr="00235AB3" w:rsidTr="00E81E5D">
        <w:trPr>
          <w:trHeight w:val="300"/>
        </w:trPr>
        <w:tc>
          <w:tcPr>
            <w:tcW w:w="153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r w:rsidRPr="00235AB3">
              <w:rPr>
                <w:rFonts w:eastAsia="Times New Roman" w:cs="Times New Roman"/>
                <w:color w:val="000000"/>
                <w:sz w:val="22"/>
              </w:rPr>
              <w:lastRenderedPageBreak/>
              <w:t>95% CI Upper</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0.256</w:t>
            </w:r>
          </w:p>
        </w:tc>
        <w:tc>
          <w:tcPr>
            <w:tcW w:w="118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-0.004</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0.271</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0.151</w:t>
            </w:r>
          </w:p>
        </w:tc>
        <w:tc>
          <w:tcPr>
            <w:tcW w:w="115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0.211</w:t>
            </w:r>
          </w:p>
        </w:tc>
        <w:tc>
          <w:tcPr>
            <w:tcW w:w="981"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0.312</w:t>
            </w:r>
          </w:p>
        </w:tc>
        <w:tc>
          <w:tcPr>
            <w:tcW w:w="1229"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-0.033</w:t>
            </w:r>
          </w:p>
        </w:tc>
      </w:tr>
    </w:tbl>
    <w:p w:rsidR="00312EB9" w:rsidRDefault="00312EB9" w:rsidP="00B47F9D"/>
    <w:p w:rsidR="00312EB9" w:rsidRDefault="00312EB9"/>
    <w:p w:rsidR="00312EB9" w:rsidRDefault="00312EB9" w:rsidP="00312EB9">
      <w:pPr>
        <w:ind w:left="1080" w:hanging="1080"/>
      </w:pPr>
      <w:r>
        <w:t>Table 3b.  Paired differences for metrics comparing conditions in Unit 14A and 15</w:t>
      </w:r>
      <w:r w:rsidR="005A0DB0">
        <w:t>C</w:t>
      </w:r>
      <w:r>
        <w:t xml:space="preserve"> gatewells in 2015 at Bonneville Dam 2</w:t>
      </w:r>
      <w:r w:rsidRPr="00AD50EE">
        <w:rPr>
          <w:vertAlign w:val="superscript"/>
        </w:rPr>
        <w:t>nd</w:t>
      </w:r>
      <w:r>
        <w:t xml:space="preserve"> Powerhouse.</w:t>
      </w:r>
    </w:p>
    <w:tbl>
      <w:tblPr>
        <w:tblW w:w="8727" w:type="dxa"/>
        <w:tblInd w:w="108" w:type="dxa"/>
        <w:tblLook w:val="04A0"/>
      </w:tblPr>
      <w:tblGrid>
        <w:gridCol w:w="1710"/>
        <w:gridCol w:w="1157"/>
        <w:gridCol w:w="1316"/>
        <w:gridCol w:w="1427"/>
        <w:gridCol w:w="1475"/>
        <w:gridCol w:w="1896"/>
      </w:tblGrid>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Median Gatewell</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Release</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ObsProp</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RecapProp</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ObsMortProp</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MaxMortProp</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Residence Time (d)</w:t>
            </w:r>
          </w:p>
        </w:tc>
      </w:tr>
      <w:tr w:rsidR="00235AB3" w:rsidRPr="00235AB3" w:rsidTr="00E81E5D">
        <w:trPr>
          <w:trHeight w:val="300"/>
        </w:trPr>
        <w:tc>
          <w:tcPr>
            <w:tcW w:w="1710"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Date</w:t>
            </w:r>
          </w:p>
        </w:tc>
        <w:tc>
          <w:tcPr>
            <w:tcW w:w="903"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Difference</w:t>
            </w:r>
          </w:p>
        </w:tc>
        <w:tc>
          <w:tcPr>
            <w:tcW w:w="1316"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Difference</w:t>
            </w:r>
          </w:p>
        </w:tc>
        <w:tc>
          <w:tcPr>
            <w:tcW w:w="1427"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Difference</w:t>
            </w:r>
          </w:p>
        </w:tc>
        <w:tc>
          <w:tcPr>
            <w:tcW w:w="1475"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Difference</w:t>
            </w:r>
          </w:p>
        </w:tc>
        <w:tc>
          <w:tcPr>
            <w:tcW w:w="1896"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Difference</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5/12</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0.031</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-0.046</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0.017</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-0.014</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0.187</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5/13</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0.023</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-0.063</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-0.008</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-0.030</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-0.324</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5/14</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0.001</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-0.006</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0.018</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0.017</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0.056</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5/15</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-0.031</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0.014</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0.009</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0.039</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0.037</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5/18</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0.008</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0.000</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0.000</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-0.008</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0.049</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5/19</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0.069</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-0.005</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0.023</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-0.045</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-0.106</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5/20</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0.169</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0.022</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0.016</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-0.153</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0.098</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5/21</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-0.008</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-0.032</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0.068</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0.072</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-0.258</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5/22</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0.042</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-0.160</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5/27</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0.038</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0.107</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0.000</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-0.038</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-0.149</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5/28</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-0.015</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0.015</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0.017</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0.032</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0.003</w:t>
            </w:r>
          </w:p>
        </w:tc>
      </w:tr>
      <w:tr w:rsidR="00235AB3" w:rsidRPr="00235AB3" w:rsidTr="00E81E5D">
        <w:trPr>
          <w:trHeight w:val="300"/>
        </w:trPr>
        <w:tc>
          <w:tcPr>
            <w:tcW w:w="1710"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5/29</w:t>
            </w:r>
          </w:p>
        </w:tc>
        <w:tc>
          <w:tcPr>
            <w:tcW w:w="903"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0.000</w:t>
            </w:r>
          </w:p>
        </w:tc>
        <w:tc>
          <w:tcPr>
            <w:tcW w:w="1316"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0.023</w:t>
            </w:r>
          </w:p>
        </w:tc>
        <w:tc>
          <w:tcPr>
            <w:tcW w:w="1427"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0.008</w:t>
            </w:r>
          </w:p>
        </w:tc>
        <w:tc>
          <w:tcPr>
            <w:tcW w:w="1475"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0.008</w:t>
            </w:r>
          </w:p>
        </w:tc>
        <w:tc>
          <w:tcPr>
            <w:tcW w:w="1896" w:type="dxa"/>
            <w:tcBorders>
              <w:top w:val="nil"/>
              <w:left w:val="nil"/>
              <w:bottom w:val="single" w:sz="4" w:space="0" w:color="auto"/>
              <w:right w:val="nil"/>
            </w:tcBorders>
            <w:shd w:val="clear" w:color="auto" w:fill="auto"/>
            <w:noWrap/>
            <w:vAlign w:val="bottom"/>
            <w:hideMark/>
          </w:tcPr>
          <w:p w:rsidR="00235AB3" w:rsidRPr="00235AB3" w:rsidRDefault="00235AB3" w:rsidP="00235AB3">
            <w:pPr>
              <w:jc w:val="center"/>
              <w:rPr>
                <w:rFonts w:eastAsia="Times New Roman" w:cs="Times New Roman"/>
                <w:sz w:val="22"/>
              </w:rPr>
            </w:pPr>
            <w:r w:rsidRPr="00235AB3">
              <w:rPr>
                <w:rFonts w:eastAsia="Times New Roman" w:cs="Times New Roman"/>
                <w:sz w:val="22"/>
              </w:rPr>
              <w:t>0.093</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0.027</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0.003</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0.015</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-0.011</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-0.040</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0.015</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0.013</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0.006</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0.018</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0.045</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r w:rsidRPr="00235AB3">
              <w:rPr>
                <w:rFonts w:eastAsia="Times New Roman" w:cs="Times New Roman"/>
                <w:color w:val="000000"/>
                <w:sz w:val="22"/>
              </w:rPr>
              <w:t>t</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1.787</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0.189</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2.545</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-0.620</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-0.872</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r w:rsidRPr="00235AB3">
              <w:rPr>
                <w:rFonts w:eastAsia="Times New Roman" w:cs="Times New Roman"/>
                <w:color w:val="000000"/>
                <w:sz w:val="22"/>
              </w:rPr>
              <w:t>df</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11</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10</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10</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10</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11</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r w:rsidRPr="00235AB3">
              <w:rPr>
                <w:rFonts w:eastAsia="Times New Roman" w:cs="Times New Roman"/>
                <w:color w:val="000000"/>
                <w:sz w:val="22"/>
              </w:rPr>
              <w:t>P-value</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0.102</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0.854</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0.029</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0.549</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0.402</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r w:rsidRPr="00235AB3">
              <w:rPr>
                <w:rFonts w:eastAsia="Times New Roman" w:cs="Times New Roman"/>
                <w:color w:val="000000"/>
                <w:sz w:val="22"/>
              </w:rPr>
              <w:t>95% CI Lower</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-0.006</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-0.027</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0.002</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-0.051</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-0.139</w:t>
            </w:r>
          </w:p>
        </w:tc>
      </w:tr>
      <w:tr w:rsidR="00235AB3" w:rsidRPr="00235AB3" w:rsidTr="00E81E5D">
        <w:trPr>
          <w:trHeight w:val="300"/>
        </w:trPr>
        <w:tc>
          <w:tcPr>
            <w:tcW w:w="1710" w:type="dxa"/>
            <w:tcBorders>
              <w:top w:val="nil"/>
              <w:left w:val="nil"/>
              <w:bottom w:val="nil"/>
              <w:right w:val="nil"/>
            </w:tcBorders>
            <w:shd w:val="clear" w:color="auto" w:fill="auto"/>
            <w:noWrap/>
            <w:vAlign w:val="bottom"/>
            <w:hideMark/>
          </w:tcPr>
          <w:p w:rsidR="00235AB3" w:rsidRPr="00235AB3" w:rsidRDefault="00235AB3" w:rsidP="00235AB3">
            <w:pPr>
              <w:rPr>
                <w:rFonts w:eastAsia="Times New Roman" w:cs="Times New Roman"/>
                <w:color w:val="000000"/>
                <w:sz w:val="22"/>
              </w:rPr>
            </w:pPr>
            <w:r w:rsidRPr="00235AB3">
              <w:rPr>
                <w:rFonts w:eastAsia="Times New Roman" w:cs="Times New Roman"/>
                <w:color w:val="000000"/>
                <w:sz w:val="22"/>
              </w:rPr>
              <w:t>95% CI Upper</w:t>
            </w:r>
          </w:p>
        </w:tc>
        <w:tc>
          <w:tcPr>
            <w:tcW w:w="903"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0.061</w:t>
            </w:r>
          </w:p>
        </w:tc>
        <w:tc>
          <w:tcPr>
            <w:tcW w:w="131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0.033</w:t>
            </w:r>
          </w:p>
        </w:tc>
        <w:tc>
          <w:tcPr>
            <w:tcW w:w="1427"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0.028</w:t>
            </w:r>
          </w:p>
        </w:tc>
        <w:tc>
          <w:tcPr>
            <w:tcW w:w="1475"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0.029</w:t>
            </w:r>
          </w:p>
        </w:tc>
        <w:tc>
          <w:tcPr>
            <w:tcW w:w="1896" w:type="dxa"/>
            <w:tcBorders>
              <w:top w:val="nil"/>
              <w:left w:val="nil"/>
              <w:bottom w:val="nil"/>
              <w:right w:val="nil"/>
            </w:tcBorders>
            <w:shd w:val="clear" w:color="auto" w:fill="auto"/>
            <w:noWrap/>
            <w:vAlign w:val="bottom"/>
            <w:hideMark/>
          </w:tcPr>
          <w:p w:rsidR="00235AB3" w:rsidRPr="00235AB3" w:rsidRDefault="00235AB3" w:rsidP="00235AB3">
            <w:pPr>
              <w:jc w:val="center"/>
              <w:rPr>
                <w:rFonts w:eastAsia="Times New Roman" w:cs="Times New Roman"/>
                <w:color w:val="000000"/>
                <w:sz w:val="22"/>
              </w:rPr>
            </w:pPr>
            <w:r w:rsidRPr="00235AB3">
              <w:rPr>
                <w:rFonts w:eastAsia="Times New Roman" w:cs="Times New Roman"/>
                <w:color w:val="000000"/>
                <w:sz w:val="22"/>
              </w:rPr>
              <w:t>0.060</w:t>
            </w:r>
          </w:p>
        </w:tc>
      </w:tr>
    </w:tbl>
    <w:p w:rsidR="002E1012" w:rsidRDefault="002E1012" w:rsidP="00312EB9"/>
    <w:p w:rsidR="00312EB9" w:rsidRDefault="00312EB9">
      <w:r>
        <w:br w:type="page"/>
      </w:r>
    </w:p>
    <w:p w:rsidR="00312EB9" w:rsidRDefault="008E47C8" w:rsidP="00312EB9">
      <w:r>
        <w:rPr>
          <w:noProof/>
        </w:rPr>
        <w:lastRenderedPageBreak/>
        <w:drawing>
          <wp:inline distT="0" distB="0" distL="0" distR="0">
            <wp:extent cx="5486400" cy="6588240"/>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1280" cy="6594100"/>
                    </a:xfrm>
                    <a:prstGeom prst="rect">
                      <a:avLst/>
                    </a:prstGeom>
                    <a:noFill/>
                  </pic:spPr>
                </pic:pic>
              </a:graphicData>
            </a:graphic>
          </wp:inline>
        </w:drawing>
      </w:r>
    </w:p>
    <w:p w:rsidR="008E47C8" w:rsidRDefault="00312EB9" w:rsidP="00D01C56">
      <w:pPr>
        <w:ind w:left="990" w:hanging="990"/>
      </w:pPr>
      <w:r>
        <w:t xml:space="preserve">Figure </w:t>
      </w:r>
      <w:r w:rsidR="008E47C8">
        <w:t>6</w:t>
      </w:r>
      <w:r>
        <w:t xml:space="preserve">.  Paired comparison of </w:t>
      </w:r>
      <w:r w:rsidR="008E47C8">
        <w:t>observed</w:t>
      </w:r>
      <w:r>
        <w:t xml:space="preserve"> </w:t>
      </w:r>
      <w:r w:rsidR="008E47C8">
        <w:t>m</w:t>
      </w:r>
      <w:r>
        <w:t>ortality for different gatewell treatments</w:t>
      </w:r>
      <w:r w:rsidR="00D01C56">
        <w:t xml:space="preserve"> in 2015.  The line represents a standard linear regression curve</w:t>
      </w:r>
      <w:r w:rsidR="008E47C8">
        <w:t>.</w:t>
      </w:r>
    </w:p>
    <w:p w:rsidR="008E47C8" w:rsidRDefault="008E47C8" w:rsidP="00D01C56">
      <w:pPr>
        <w:ind w:left="990" w:hanging="990"/>
      </w:pPr>
    </w:p>
    <w:p w:rsidR="008E47C8" w:rsidRDefault="008E47C8" w:rsidP="00D01C56">
      <w:pPr>
        <w:ind w:left="990" w:hanging="990"/>
      </w:pPr>
      <w:r>
        <w:rPr>
          <w:noProof/>
        </w:rPr>
        <w:lastRenderedPageBreak/>
        <w:drawing>
          <wp:inline distT="0" distB="0" distL="0" distR="0">
            <wp:extent cx="5486400" cy="6588240"/>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1280" cy="6594100"/>
                    </a:xfrm>
                    <a:prstGeom prst="rect">
                      <a:avLst/>
                    </a:prstGeom>
                    <a:noFill/>
                  </pic:spPr>
                </pic:pic>
              </a:graphicData>
            </a:graphic>
          </wp:inline>
        </w:drawing>
      </w:r>
    </w:p>
    <w:p w:rsidR="008E47C8" w:rsidRDefault="008E47C8" w:rsidP="008E47C8">
      <w:pPr>
        <w:ind w:left="990" w:hanging="990"/>
      </w:pPr>
      <w:r>
        <w:t>Figure 7.  Paired comparison of maximum estimated mortality for different gatewell treatments in 2015.  The line represents a standard linear regression curve.  The dataset for the first series was, for visual purposes, split into early and late periods that indicated opposite results.</w:t>
      </w:r>
    </w:p>
    <w:p w:rsidR="008E47C8" w:rsidRDefault="008E47C8" w:rsidP="00D01C56">
      <w:pPr>
        <w:ind w:left="990" w:hanging="990"/>
      </w:pPr>
    </w:p>
    <w:p w:rsidR="00D01C56" w:rsidRDefault="00D01C56">
      <w:r>
        <w:br w:type="page"/>
      </w:r>
    </w:p>
    <w:p w:rsidR="00D01C56" w:rsidRDefault="00202AA8" w:rsidP="00D01C56">
      <w:r>
        <w:rPr>
          <w:noProof/>
        </w:rPr>
        <w:lastRenderedPageBreak/>
        <w:drawing>
          <wp:inline distT="0" distB="0" distL="0" distR="0">
            <wp:extent cx="5488350" cy="659058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3231" cy="6596443"/>
                    </a:xfrm>
                    <a:prstGeom prst="rect">
                      <a:avLst/>
                    </a:prstGeom>
                    <a:noFill/>
                  </pic:spPr>
                </pic:pic>
              </a:graphicData>
            </a:graphic>
          </wp:inline>
        </w:drawing>
      </w:r>
    </w:p>
    <w:p w:rsidR="00D01C56" w:rsidRDefault="00D01C56" w:rsidP="00D01C56">
      <w:r>
        <w:t xml:space="preserve">Figure </w:t>
      </w:r>
      <w:r w:rsidR="008E47C8">
        <w:t>8</w:t>
      </w:r>
      <w:r>
        <w:t>.  Paired comparison of Gatewell Residence Time for different gatewell treatments in 2015.  The line represents a standard linear regression curve.</w:t>
      </w:r>
    </w:p>
    <w:p w:rsidR="00D60325" w:rsidRDefault="00D60325">
      <w:r>
        <w:br w:type="page"/>
      </w:r>
    </w:p>
    <w:p w:rsidR="00D60325" w:rsidRDefault="00D60325" w:rsidP="00D01C56">
      <w:pPr>
        <w:sectPr w:rsidR="00D60325">
          <w:footerReference w:type="default" r:id="rId16"/>
          <w:pgSz w:w="12240" w:h="15840"/>
          <w:pgMar w:top="1440" w:right="1440" w:bottom="1440" w:left="1440" w:header="720" w:footer="720" w:gutter="0"/>
          <w:cols w:space="720"/>
          <w:docGrid w:linePitch="360"/>
        </w:sectPr>
      </w:pPr>
    </w:p>
    <w:p w:rsidR="00D01C56" w:rsidRDefault="00D60325" w:rsidP="00D01C56">
      <w:r>
        <w:lastRenderedPageBreak/>
        <w:t>Appendix</w:t>
      </w:r>
    </w:p>
    <w:p w:rsidR="00D60325" w:rsidRDefault="007307B0" w:rsidP="00D01C56">
      <w:r>
        <w:object w:dxaOrig="9855" w:dyaOrig="8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55pt;height:404.15pt" o:ole="">
            <v:imagedata r:id="rId17" o:title=""/>
          </v:shape>
          <o:OLEObject Type="Embed" ProgID="Acrobat.Document.11" ShapeID="_x0000_i1025" DrawAspect="Content" ObjectID="_1504954342" r:id="rId18"/>
        </w:object>
      </w:r>
    </w:p>
    <w:p w:rsidR="00D60325" w:rsidRDefault="007307B0" w:rsidP="007307B0">
      <w:pPr>
        <w:ind w:left="1170" w:hanging="1170"/>
      </w:pPr>
      <w:r>
        <w:t xml:space="preserve">Figure A1.  </w:t>
      </w:r>
      <w:r w:rsidR="00D60325">
        <w:t>Gatewell Residence Time Distributions for</w:t>
      </w:r>
      <w:r>
        <w:t xml:space="preserve"> various release day groupings for Series 1 (Unit 14A vs Unit 15A) and Series 2 (Unit 14A vs Unit 15C) further divided into fish observed at JFMF as Live vs Mortalities for Bonneville Dam 2</w:t>
      </w:r>
      <w:r w:rsidRPr="007307B0">
        <w:rPr>
          <w:vertAlign w:val="superscript"/>
        </w:rPr>
        <w:t>nd</w:t>
      </w:r>
      <w:r>
        <w:t xml:space="preserve"> Powerhouse in 2015.</w:t>
      </w:r>
    </w:p>
    <w:p w:rsidR="00D60325" w:rsidRDefault="00D60325" w:rsidP="00D01C56">
      <w:r>
        <w:object w:dxaOrig="9855" w:dyaOrig="8085">
          <v:shape id="_x0000_i1026" type="#_x0000_t75" style="width:492.45pt;height:404.15pt" o:ole="">
            <v:imagedata r:id="rId19" o:title=""/>
          </v:shape>
          <o:OLEObject Type="Embed" ProgID="Acrobat.Document.11" ShapeID="_x0000_i1026" DrawAspect="Content" ObjectID="_1504954343" r:id="rId20"/>
        </w:object>
      </w:r>
    </w:p>
    <w:p w:rsidR="00D60325" w:rsidRDefault="007307B0" w:rsidP="007307B0">
      <w:pPr>
        <w:ind w:left="1170" w:hanging="1170"/>
      </w:pPr>
      <w:r>
        <w:t xml:space="preserve">Figure A2.  </w:t>
      </w:r>
      <w:r w:rsidR="00D60325">
        <w:t>Gatewell Residence Time Distributions by Release Day Replicate for Series 1 comparing Unit 14A and Unit 15A</w:t>
      </w:r>
      <w:r>
        <w:t xml:space="preserve"> at Bonneville Dam 2</w:t>
      </w:r>
      <w:r w:rsidRPr="007307B0">
        <w:rPr>
          <w:vertAlign w:val="superscript"/>
        </w:rPr>
        <w:t>nd</w:t>
      </w:r>
      <w:r>
        <w:t xml:space="preserve"> Powerhouse in 2015</w:t>
      </w:r>
      <w:r w:rsidR="00D60325">
        <w:t>.</w:t>
      </w:r>
    </w:p>
    <w:p w:rsidR="00D60325" w:rsidRDefault="00D60325">
      <w:r>
        <w:br w:type="page"/>
      </w:r>
    </w:p>
    <w:p w:rsidR="00D60325" w:rsidRDefault="00D60325" w:rsidP="00D01C56"/>
    <w:p w:rsidR="00D60325" w:rsidRDefault="00D60325" w:rsidP="00D01C56">
      <w:r>
        <w:object w:dxaOrig="9855" w:dyaOrig="8085">
          <v:shape id="_x0000_i1027" type="#_x0000_t75" style="width:492.45pt;height:404.15pt" o:ole="">
            <v:imagedata r:id="rId21" o:title=""/>
          </v:shape>
          <o:OLEObject Type="Embed" ProgID="Acrobat.Document.11" ShapeID="_x0000_i1027" DrawAspect="Content" ObjectID="_1504954344" r:id="rId22"/>
        </w:object>
      </w:r>
    </w:p>
    <w:p w:rsidR="00D60325" w:rsidRDefault="007307B0" w:rsidP="007307B0">
      <w:pPr>
        <w:ind w:left="1170" w:hanging="1170"/>
      </w:pPr>
      <w:r>
        <w:t xml:space="preserve">Figure A3.  </w:t>
      </w:r>
      <w:r w:rsidR="00D60325">
        <w:t>Gatewell Residence Time Distributions by Release Day Replicate for Series 2 comparing Unit 14A and Unit 15C</w:t>
      </w:r>
      <w:r>
        <w:t xml:space="preserve"> at Bonneville Dam 2</w:t>
      </w:r>
      <w:r w:rsidRPr="007307B0">
        <w:rPr>
          <w:vertAlign w:val="superscript"/>
        </w:rPr>
        <w:t>nd</w:t>
      </w:r>
      <w:r>
        <w:t xml:space="preserve"> Powerhouse in 2015</w:t>
      </w:r>
      <w:r w:rsidR="00D60325">
        <w:t>.</w:t>
      </w:r>
    </w:p>
    <w:p w:rsidR="007307B0" w:rsidRDefault="007307B0" w:rsidP="00D60325"/>
    <w:sectPr w:rsidR="007307B0" w:rsidSect="00D60325">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FF5" w:rsidRDefault="008C6FF5" w:rsidP="000D1C2F">
      <w:r>
        <w:separator/>
      </w:r>
    </w:p>
  </w:endnote>
  <w:endnote w:type="continuationSeparator" w:id="0">
    <w:p w:rsidR="008C6FF5" w:rsidRDefault="008C6FF5" w:rsidP="000D1C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0D1C2F">
      <w:tc>
        <w:tcPr>
          <w:tcW w:w="918" w:type="dxa"/>
        </w:tcPr>
        <w:p w:rsidR="000D1C2F" w:rsidRDefault="000D1C2F">
          <w:pPr>
            <w:pStyle w:val="Footer"/>
            <w:jc w:val="right"/>
            <w:rPr>
              <w:b/>
              <w:color w:val="4F81BD" w:themeColor="accent1"/>
              <w:sz w:val="32"/>
              <w:szCs w:val="32"/>
            </w:rPr>
          </w:pPr>
          <w:fldSimple w:instr=" PAGE   \* MERGEFORMAT ">
            <w:r w:rsidRPr="000D1C2F">
              <w:rPr>
                <w:b/>
                <w:noProof/>
                <w:color w:val="4F81BD" w:themeColor="accent1"/>
                <w:sz w:val="32"/>
                <w:szCs w:val="32"/>
              </w:rPr>
              <w:t>1</w:t>
            </w:r>
          </w:fldSimple>
        </w:p>
      </w:tc>
      <w:tc>
        <w:tcPr>
          <w:tcW w:w="7938" w:type="dxa"/>
        </w:tcPr>
        <w:p w:rsidR="000D1C2F" w:rsidRDefault="000D1C2F">
          <w:pPr>
            <w:pStyle w:val="Footer"/>
          </w:pPr>
        </w:p>
      </w:tc>
    </w:tr>
  </w:tbl>
  <w:p w:rsidR="000D1C2F" w:rsidRDefault="000D1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FF5" w:rsidRDefault="008C6FF5" w:rsidP="000D1C2F">
      <w:r>
        <w:separator/>
      </w:r>
    </w:p>
  </w:footnote>
  <w:footnote w:type="continuationSeparator" w:id="0">
    <w:p w:rsidR="008C6FF5" w:rsidRDefault="008C6FF5" w:rsidP="000D1C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73DF"/>
    <w:multiLevelType w:val="hybridMultilevel"/>
    <w:tmpl w:val="871CE70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F31D1B"/>
    <w:multiLevelType w:val="hybridMultilevel"/>
    <w:tmpl w:val="7E3AE3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E91626"/>
    <w:multiLevelType w:val="hybridMultilevel"/>
    <w:tmpl w:val="29002A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47F9D"/>
    <w:rsid w:val="00050D76"/>
    <w:rsid w:val="0006121A"/>
    <w:rsid w:val="00066F4A"/>
    <w:rsid w:val="000A633F"/>
    <w:rsid w:val="000C6E50"/>
    <w:rsid w:val="000D1C2F"/>
    <w:rsid w:val="00142E59"/>
    <w:rsid w:val="00202AA8"/>
    <w:rsid w:val="00235AB3"/>
    <w:rsid w:val="002E1012"/>
    <w:rsid w:val="00312EB9"/>
    <w:rsid w:val="003836F6"/>
    <w:rsid w:val="004A637B"/>
    <w:rsid w:val="004C4021"/>
    <w:rsid w:val="00574233"/>
    <w:rsid w:val="005A0DB0"/>
    <w:rsid w:val="006D2BB3"/>
    <w:rsid w:val="007307B0"/>
    <w:rsid w:val="007731F5"/>
    <w:rsid w:val="007C7DD1"/>
    <w:rsid w:val="00803029"/>
    <w:rsid w:val="008220E8"/>
    <w:rsid w:val="008C6FF5"/>
    <w:rsid w:val="008E47C8"/>
    <w:rsid w:val="00957A33"/>
    <w:rsid w:val="00A14750"/>
    <w:rsid w:val="00A50B57"/>
    <w:rsid w:val="00AD50EE"/>
    <w:rsid w:val="00B47F9D"/>
    <w:rsid w:val="00B91A45"/>
    <w:rsid w:val="00C1387E"/>
    <w:rsid w:val="00C2307A"/>
    <w:rsid w:val="00C64BE0"/>
    <w:rsid w:val="00CD6FF6"/>
    <w:rsid w:val="00D01C56"/>
    <w:rsid w:val="00D2175D"/>
    <w:rsid w:val="00D24493"/>
    <w:rsid w:val="00D60325"/>
    <w:rsid w:val="00D82CEF"/>
    <w:rsid w:val="00DC7CA5"/>
    <w:rsid w:val="00E179FD"/>
    <w:rsid w:val="00E23CDD"/>
    <w:rsid w:val="00E37951"/>
    <w:rsid w:val="00E76111"/>
    <w:rsid w:val="00E81E5D"/>
    <w:rsid w:val="00EF6F76"/>
    <w:rsid w:val="00FC5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33F"/>
    <w:rPr>
      <w:rFonts w:ascii="Tahoma" w:hAnsi="Tahoma" w:cs="Tahoma"/>
      <w:sz w:val="16"/>
      <w:szCs w:val="16"/>
    </w:rPr>
  </w:style>
  <w:style w:type="character" w:customStyle="1" w:styleId="BalloonTextChar">
    <w:name w:val="Balloon Text Char"/>
    <w:basedOn w:val="DefaultParagraphFont"/>
    <w:link w:val="BalloonText"/>
    <w:uiPriority w:val="99"/>
    <w:semiHidden/>
    <w:rsid w:val="000A633F"/>
    <w:rPr>
      <w:rFonts w:ascii="Tahoma" w:hAnsi="Tahoma" w:cs="Tahoma"/>
      <w:sz w:val="16"/>
      <w:szCs w:val="16"/>
    </w:rPr>
  </w:style>
  <w:style w:type="paragraph" w:customStyle="1" w:styleId="JBNormal">
    <w:name w:val="JB Normal"/>
    <w:basedOn w:val="Normal"/>
    <w:link w:val="JBNormalChar"/>
    <w:uiPriority w:val="99"/>
    <w:rsid w:val="00B91A45"/>
    <w:pPr>
      <w:widowControl w:val="0"/>
      <w:tabs>
        <w:tab w:val="left" w:pos="-1080"/>
        <w:tab w:val="left" w:pos="-720"/>
        <w:tab w:val="left" w:pos="0"/>
        <w:tab w:val="left" w:pos="720"/>
      </w:tabs>
      <w:spacing w:line="316" w:lineRule="exact"/>
    </w:pPr>
    <w:rPr>
      <w:rFonts w:eastAsia="Times New Roman" w:cs="Times New Roman"/>
      <w:szCs w:val="24"/>
    </w:rPr>
  </w:style>
  <w:style w:type="character" w:customStyle="1" w:styleId="JBNormalChar">
    <w:name w:val="JB Normal Char"/>
    <w:link w:val="JBNormal"/>
    <w:uiPriority w:val="99"/>
    <w:rsid w:val="00B91A45"/>
    <w:rPr>
      <w:rFonts w:eastAsia="Times New Roman" w:cs="Times New Roman"/>
      <w:szCs w:val="24"/>
    </w:rPr>
  </w:style>
  <w:style w:type="paragraph" w:styleId="Header">
    <w:name w:val="header"/>
    <w:basedOn w:val="Normal"/>
    <w:link w:val="HeaderChar"/>
    <w:uiPriority w:val="99"/>
    <w:semiHidden/>
    <w:unhideWhenUsed/>
    <w:rsid w:val="000D1C2F"/>
    <w:pPr>
      <w:tabs>
        <w:tab w:val="center" w:pos="4680"/>
        <w:tab w:val="right" w:pos="9360"/>
      </w:tabs>
    </w:pPr>
  </w:style>
  <w:style w:type="character" w:customStyle="1" w:styleId="HeaderChar">
    <w:name w:val="Header Char"/>
    <w:basedOn w:val="DefaultParagraphFont"/>
    <w:link w:val="Header"/>
    <w:uiPriority w:val="99"/>
    <w:semiHidden/>
    <w:rsid w:val="000D1C2F"/>
  </w:style>
  <w:style w:type="paragraph" w:styleId="Footer">
    <w:name w:val="footer"/>
    <w:basedOn w:val="Normal"/>
    <w:link w:val="FooterChar"/>
    <w:uiPriority w:val="99"/>
    <w:unhideWhenUsed/>
    <w:rsid w:val="000D1C2F"/>
    <w:pPr>
      <w:tabs>
        <w:tab w:val="center" w:pos="4680"/>
        <w:tab w:val="right" w:pos="9360"/>
      </w:tabs>
    </w:pPr>
  </w:style>
  <w:style w:type="character" w:customStyle="1" w:styleId="FooterChar">
    <w:name w:val="Footer Char"/>
    <w:basedOn w:val="DefaultParagraphFont"/>
    <w:link w:val="Footer"/>
    <w:uiPriority w:val="99"/>
    <w:rsid w:val="000D1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33F"/>
    <w:rPr>
      <w:rFonts w:ascii="Tahoma" w:hAnsi="Tahoma" w:cs="Tahoma"/>
      <w:sz w:val="16"/>
      <w:szCs w:val="16"/>
    </w:rPr>
  </w:style>
  <w:style w:type="character" w:customStyle="1" w:styleId="BalloonTextChar">
    <w:name w:val="Balloon Text Char"/>
    <w:basedOn w:val="DefaultParagraphFont"/>
    <w:link w:val="BalloonText"/>
    <w:uiPriority w:val="99"/>
    <w:semiHidden/>
    <w:rsid w:val="000A633F"/>
    <w:rPr>
      <w:rFonts w:ascii="Tahoma" w:hAnsi="Tahoma" w:cs="Tahoma"/>
      <w:sz w:val="16"/>
      <w:szCs w:val="16"/>
    </w:rPr>
  </w:style>
  <w:style w:type="paragraph" w:customStyle="1" w:styleId="JBNormal">
    <w:name w:val="JB Normal"/>
    <w:basedOn w:val="Normal"/>
    <w:link w:val="JBNormalChar"/>
    <w:uiPriority w:val="99"/>
    <w:rsid w:val="00B91A45"/>
    <w:pPr>
      <w:widowControl w:val="0"/>
      <w:tabs>
        <w:tab w:val="left" w:pos="-1080"/>
        <w:tab w:val="left" w:pos="-720"/>
        <w:tab w:val="left" w:pos="0"/>
        <w:tab w:val="left" w:pos="720"/>
      </w:tabs>
      <w:spacing w:line="316" w:lineRule="exact"/>
    </w:pPr>
    <w:rPr>
      <w:rFonts w:eastAsia="Times New Roman" w:cs="Times New Roman"/>
      <w:szCs w:val="24"/>
    </w:rPr>
  </w:style>
  <w:style w:type="character" w:customStyle="1" w:styleId="JBNormalChar">
    <w:name w:val="JB Normal Char"/>
    <w:link w:val="JBNormal"/>
    <w:uiPriority w:val="99"/>
    <w:rsid w:val="00B91A45"/>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2581745">
      <w:bodyDiv w:val="1"/>
      <w:marLeft w:val="0"/>
      <w:marRight w:val="0"/>
      <w:marTop w:val="0"/>
      <w:marBottom w:val="0"/>
      <w:divBdr>
        <w:top w:val="none" w:sz="0" w:space="0" w:color="auto"/>
        <w:left w:val="none" w:sz="0" w:space="0" w:color="auto"/>
        <w:bottom w:val="none" w:sz="0" w:space="0" w:color="auto"/>
        <w:right w:val="none" w:sz="0" w:space="0" w:color="auto"/>
      </w:divBdr>
    </w:div>
    <w:div w:id="270823687">
      <w:bodyDiv w:val="1"/>
      <w:marLeft w:val="0"/>
      <w:marRight w:val="0"/>
      <w:marTop w:val="0"/>
      <w:marBottom w:val="0"/>
      <w:divBdr>
        <w:top w:val="none" w:sz="0" w:space="0" w:color="auto"/>
        <w:left w:val="none" w:sz="0" w:space="0" w:color="auto"/>
        <w:bottom w:val="none" w:sz="0" w:space="0" w:color="auto"/>
        <w:right w:val="none" w:sz="0" w:space="0" w:color="auto"/>
      </w:divBdr>
    </w:div>
    <w:div w:id="371003178">
      <w:bodyDiv w:val="1"/>
      <w:marLeft w:val="0"/>
      <w:marRight w:val="0"/>
      <w:marTop w:val="0"/>
      <w:marBottom w:val="0"/>
      <w:divBdr>
        <w:top w:val="none" w:sz="0" w:space="0" w:color="auto"/>
        <w:left w:val="none" w:sz="0" w:space="0" w:color="auto"/>
        <w:bottom w:val="none" w:sz="0" w:space="0" w:color="auto"/>
        <w:right w:val="none" w:sz="0" w:space="0" w:color="auto"/>
      </w:divBdr>
    </w:div>
    <w:div w:id="396629438">
      <w:bodyDiv w:val="1"/>
      <w:marLeft w:val="0"/>
      <w:marRight w:val="0"/>
      <w:marTop w:val="0"/>
      <w:marBottom w:val="0"/>
      <w:divBdr>
        <w:top w:val="none" w:sz="0" w:space="0" w:color="auto"/>
        <w:left w:val="none" w:sz="0" w:space="0" w:color="auto"/>
        <w:bottom w:val="none" w:sz="0" w:space="0" w:color="auto"/>
        <w:right w:val="none" w:sz="0" w:space="0" w:color="auto"/>
      </w:divBdr>
    </w:div>
    <w:div w:id="454108012">
      <w:bodyDiv w:val="1"/>
      <w:marLeft w:val="0"/>
      <w:marRight w:val="0"/>
      <w:marTop w:val="0"/>
      <w:marBottom w:val="0"/>
      <w:divBdr>
        <w:top w:val="none" w:sz="0" w:space="0" w:color="auto"/>
        <w:left w:val="none" w:sz="0" w:space="0" w:color="auto"/>
        <w:bottom w:val="none" w:sz="0" w:space="0" w:color="auto"/>
        <w:right w:val="none" w:sz="0" w:space="0" w:color="auto"/>
      </w:divBdr>
    </w:div>
    <w:div w:id="476413504">
      <w:bodyDiv w:val="1"/>
      <w:marLeft w:val="0"/>
      <w:marRight w:val="0"/>
      <w:marTop w:val="0"/>
      <w:marBottom w:val="0"/>
      <w:divBdr>
        <w:top w:val="none" w:sz="0" w:space="0" w:color="auto"/>
        <w:left w:val="none" w:sz="0" w:space="0" w:color="auto"/>
        <w:bottom w:val="none" w:sz="0" w:space="0" w:color="auto"/>
        <w:right w:val="none" w:sz="0" w:space="0" w:color="auto"/>
      </w:divBdr>
    </w:div>
    <w:div w:id="635767648">
      <w:bodyDiv w:val="1"/>
      <w:marLeft w:val="0"/>
      <w:marRight w:val="0"/>
      <w:marTop w:val="0"/>
      <w:marBottom w:val="0"/>
      <w:divBdr>
        <w:top w:val="none" w:sz="0" w:space="0" w:color="auto"/>
        <w:left w:val="none" w:sz="0" w:space="0" w:color="auto"/>
        <w:bottom w:val="none" w:sz="0" w:space="0" w:color="auto"/>
        <w:right w:val="none" w:sz="0" w:space="0" w:color="auto"/>
      </w:divBdr>
    </w:div>
    <w:div w:id="1060904516">
      <w:bodyDiv w:val="1"/>
      <w:marLeft w:val="0"/>
      <w:marRight w:val="0"/>
      <w:marTop w:val="0"/>
      <w:marBottom w:val="0"/>
      <w:divBdr>
        <w:top w:val="none" w:sz="0" w:space="0" w:color="auto"/>
        <w:left w:val="none" w:sz="0" w:space="0" w:color="auto"/>
        <w:bottom w:val="none" w:sz="0" w:space="0" w:color="auto"/>
        <w:right w:val="none" w:sz="0" w:space="0" w:color="auto"/>
      </w:divBdr>
    </w:div>
    <w:div w:id="1129006940">
      <w:bodyDiv w:val="1"/>
      <w:marLeft w:val="0"/>
      <w:marRight w:val="0"/>
      <w:marTop w:val="0"/>
      <w:marBottom w:val="0"/>
      <w:divBdr>
        <w:top w:val="none" w:sz="0" w:space="0" w:color="auto"/>
        <w:left w:val="none" w:sz="0" w:space="0" w:color="auto"/>
        <w:bottom w:val="none" w:sz="0" w:space="0" w:color="auto"/>
        <w:right w:val="none" w:sz="0" w:space="0" w:color="auto"/>
      </w:divBdr>
    </w:div>
    <w:div w:id="1301226387">
      <w:bodyDiv w:val="1"/>
      <w:marLeft w:val="0"/>
      <w:marRight w:val="0"/>
      <w:marTop w:val="0"/>
      <w:marBottom w:val="0"/>
      <w:divBdr>
        <w:top w:val="none" w:sz="0" w:space="0" w:color="auto"/>
        <w:left w:val="none" w:sz="0" w:space="0" w:color="auto"/>
        <w:bottom w:val="none" w:sz="0" w:space="0" w:color="auto"/>
        <w:right w:val="none" w:sz="0" w:space="0" w:color="auto"/>
      </w:divBdr>
    </w:div>
    <w:div w:id="1527332196">
      <w:bodyDiv w:val="1"/>
      <w:marLeft w:val="0"/>
      <w:marRight w:val="0"/>
      <w:marTop w:val="0"/>
      <w:marBottom w:val="0"/>
      <w:divBdr>
        <w:top w:val="none" w:sz="0" w:space="0" w:color="auto"/>
        <w:left w:val="none" w:sz="0" w:space="0" w:color="auto"/>
        <w:bottom w:val="none" w:sz="0" w:space="0" w:color="auto"/>
        <w:right w:val="none" w:sz="0" w:space="0" w:color="auto"/>
      </w:divBdr>
    </w:div>
    <w:div w:id="1608076169">
      <w:bodyDiv w:val="1"/>
      <w:marLeft w:val="0"/>
      <w:marRight w:val="0"/>
      <w:marTop w:val="0"/>
      <w:marBottom w:val="0"/>
      <w:divBdr>
        <w:top w:val="none" w:sz="0" w:space="0" w:color="auto"/>
        <w:left w:val="none" w:sz="0" w:space="0" w:color="auto"/>
        <w:bottom w:val="none" w:sz="0" w:space="0" w:color="auto"/>
        <w:right w:val="none" w:sz="0" w:space="0" w:color="auto"/>
      </w:divBdr>
    </w:div>
    <w:div w:id="1639725421">
      <w:bodyDiv w:val="1"/>
      <w:marLeft w:val="0"/>
      <w:marRight w:val="0"/>
      <w:marTop w:val="0"/>
      <w:marBottom w:val="0"/>
      <w:divBdr>
        <w:top w:val="none" w:sz="0" w:space="0" w:color="auto"/>
        <w:left w:val="none" w:sz="0" w:space="0" w:color="auto"/>
        <w:bottom w:val="none" w:sz="0" w:space="0" w:color="auto"/>
        <w:right w:val="none" w:sz="0" w:space="0" w:color="auto"/>
      </w:divBdr>
    </w:div>
    <w:div w:id="1934782496">
      <w:bodyDiv w:val="1"/>
      <w:marLeft w:val="0"/>
      <w:marRight w:val="0"/>
      <w:marTop w:val="0"/>
      <w:marBottom w:val="0"/>
      <w:divBdr>
        <w:top w:val="none" w:sz="0" w:space="0" w:color="auto"/>
        <w:left w:val="none" w:sz="0" w:space="0" w:color="auto"/>
        <w:bottom w:val="none" w:sz="0" w:space="0" w:color="auto"/>
        <w:right w:val="none" w:sz="0" w:space="0" w:color="auto"/>
      </w:divBdr>
    </w:div>
    <w:div w:id="209708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em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9B1C1-5640-409B-9D1A-FE414F24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Sandford</dc:creator>
  <cp:lastModifiedBy>G2PMEJGR</cp:lastModifiedBy>
  <cp:revision>2</cp:revision>
  <cp:lastPrinted>2015-07-30T21:27:00Z</cp:lastPrinted>
  <dcterms:created xsi:type="dcterms:W3CDTF">2015-09-28T21:06:00Z</dcterms:created>
  <dcterms:modified xsi:type="dcterms:W3CDTF">2015-09-28T21:06:00Z</dcterms:modified>
</cp:coreProperties>
</file>