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2E9DB" w14:textId="77777777" w:rsidR="009F52BD" w:rsidRPr="00435C2F" w:rsidRDefault="009F52BD" w:rsidP="009A6257">
      <w:pPr>
        <w:pStyle w:val="Title"/>
        <w:spacing w:after="0"/>
        <w:rPr>
          <w:rFonts w:ascii="Times New Roman" w:hAnsi="Times New Roman"/>
          <w:sz w:val="52"/>
          <w:szCs w:val="52"/>
        </w:rPr>
      </w:pPr>
    </w:p>
    <w:p w14:paraId="37E27291" w14:textId="77777777" w:rsidR="009F52BD" w:rsidRPr="00435C2F" w:rsidRDefault="009F52BD" w:rsidP="009A6257">
      <w:pPr>
        <w:pStyle w:val="Title"/>
        <w:spacing w:after="0"/>
        <w:rPr>
          <w:rFonts w:ascii="Times New Roman" w:hAnsi="Times New Roman"/>
          <w:sz w:val="52"/>
          <w:szCs w:val="52"/>
        </w:rPr>
      </w:pPr>
      <w:r w:rsidRPr="00435C2F">
        <w:rPr>
          <w:rFonts w:ascii="Times New Roman" w:hAnsi="Times New Roman"/>
          <w:sz w:val="52"/>
          <w:szCs w:val="52"/>
        </w:rPr>
        <w:t>Appendix 4</w:t>
      </w:r>
    </w:p>
    <w:p w14:paraId="0551EFD5" w14:textId="77777777" w:rsidR="009F52BD" w:rsidRPr="00435C2F" w:rsidRDefault="009F52BD" w:rsidP="009A6257">
      <w:pPr>
        <w:pStyle w:val="Title"/>
        <w:spacing w:after="0"/>
        <w:rPr>
          <w:rFonts w:ascii="Times New Roman" w:hAnsi="Times New Roman"/>
          <w:sz w:val="52"/>
          <w:szCs w:val="52"/>
        </w:rPr>
      </w:pPr>
    </w:p>
    <w:p w14:paraId="336A78F9" w14:textId="77777777" w:rsidR="009F52BD" w:rsidRPr="00435C2F" w:rsidRDefault="009F52BD" w:rsidP="009A6257">
      <w:pPr>
        <w:pStyle w:val="Title"/>
        <w:spacing w:after="0"/>
        <w:rPr>
          <w:rFonts w:ascii="Times New Roman" w:hAnsi="Times New Roman"/>
          <w:sz w:val="52"/>
          <w:szCs w:val="52"/>
        </w:rPr>
      </w:pPr>
    </w:p>
    <w:p w14:paraId="16AFC3F3" w14:textId="77777777" w:rsidR="009F52BD" w:rsidRPr="00435C2F" w:rsidRDefault="009F52BD" w:rsidP="009A6257">
      <w:pPr>
        <w:pStyle w:val="Title"/>
        <w:spacing w:after="0"/>
        <w:rPr>
          <w:rFonts w:ascii="Times New Roman" w:hAnsi="Times New Roman"/>
          <w:sz w:val="52"/>
          <w:szCs w:val="52"/>
        </w:rPr>
      </w:pPr>
    </w:p>
    <w:p w14:paraId="6FFCEC6F" w14:textId="77777777" w:rsidR="009F52BD" w:rsidRPr="00435C2F" w:rsidRDefault="009F52BD" w:rsidP="009A6257">
      <w:pPr>
        <w:pStyle w:val="Title"/>
        <w:spacing w:after="0"/>
        <w:rPr>
          <w:rFonts w:ascii="Times New Roman" w:hAnsi="Times New Roman"/>
          <w:sz w:val="52"/>
          <w:szCs w:val="52"/>
        </w:rPr>
      </w:pPr>
    </w:p>
    <w:p w14:paraId="55075024" w14:textId="77777777" w:rsidR="009F52BD" w:rsidRPr="00435C2F" w:rsidRDefault="009F52BD" w:rsidP="009A6257">
      <w:pPr>
        <w:pStyle w:val="Title"/>
        <w:spacing w:after="0"/>
        <w:rPr>
          <w:rFonts w:ascii="Times New Roman" w:hAnsi="Times New Roman"/>
          <w:sz w:val="52"/>
          <w:szCs w:val="52"/>
        </w:rPr>
      </w:pPr>
    </w:p>
    <w:p w14:paraId="149A4BA0" w14:textId="3E107A1B" w:rsidR="009F52BD" w:rsidRPr="00435C2F" w:rsidRDefault="008379E6" w:rsidP="009A6257">
      <w:pPr>
        <w:pStyle w:val="Title"/>
        <w:spacing w:after="0"/>
        <w:rPr>
          <w:rFonts w:ascii="Times New Roman" w:hAnsi="Times New Roman"/>
          <w:sz w:val="52"/>
          <w:szCs w:val="52"/>
        </w:rPr>
      </w:pPr>
      <w:r w:rsidRPr="00435C2F">
        <w:rPr>
          <w:rFonts w:ascii="Times New Roman" w:hAnsi="Times New Roman"/>
          <w:sz w:val="52"/>
          <w:szCs w:val="52"/>
        </w:rPr>
        <w:t>202</w:t>
      </w:r>
      <w:r>
        <w:rPr>
          <w:rFonts w:ascii="Times New Roman" w:hAnsi="Times New Roman"/>
          <w:sz w:val="52"/>
          <w:szCs w:val="52"/>
        </w:rPr>
        <w:t>2</w:t>
      </w:r>
      <w:r w:rsidRPr="00435C2F">
        <w:rPr>
          <w:rFonts w:ascii="Times New Roman" w:hAnsi="Times New Roman"/>
          <w:sz w:val="52"/>
          <w:szCs w:val="52"/>
        </w:rPr>
        <w:t xml:space="preserve"> </w:t>
      </w:r>
      <w:r w:rsidR="009F52BD" w:rsidRPr="00435C2F">
        <w:rPr>
          <w:rFonts w:ascii="Times New Roman" w:hAnsi="Times New Roman"/>
          <w:sz w:val="52"/>
          <w:szCs w:val="52"/>
        </w:rPr>
        <w:t>Total Dissolved Gas</w:t>
      </w:r>
    </w:p>
    <w:p w14:paraId="7E53E4BB" w14:textId="77777777" w:rsidR="009F52BD" w:rsidRPr="00435C2F" w:rsidRDefault="009F52BD" w:rsidP="009A6257">
      <w:pPr>
        <w:pStyle w:val="Title"/>
        <w:spacing w:after="0"/>
        <w:rPr>
          <w:rFonts w:ascii="Times New Roman" w:hAnsi="Times New Roman"/>
          <w:sz w:val="52"/>
          <w:szCs w:val="52"/>
        </w:rPr>
      </w:pPr>
    </w:p>
    <w:p w14:paraId="737ACF32" w14:textId="77777777" w:rsidR="009F52BD" w:rsidRPr="00435C2F" w:rsidRDefault="009F52BD" w:rsidP="009A6257">
      <w:pPr>
        <w:pStyle w:val="Title"/>
        <w:spacing w:after="0"/>
        <w:rPr>
          <w:rFonts w:ascii="Times New Roman" w:hAnsi="Times New Roman"/>
          <w:sz w:val="52"/>
          <w:szCs w:val="52"/>
        </w:rPr>
      </w:pPr>
      <w:r w:rsidRPr="00435C2F">
        <w:rPr>
          <w:rFonts w:ascii="Times New Roman" w:hAnsi="Times New Roman"/>
          <w:sz w:val="52"/>
          <w:szCs w:val="52"/>
        </w:rPr>
        <w:t>Management Plan</w:t>
      </w:r>
    </w:p>
    <w:p w14:paraId="496B9558" w14:textId="77777777" w:rsidR="009F52BD" w:rsidRPr="00435C2F" w:rsidRDefault="009F52BD" w:rsidP="009A6257">
      <w:pPr>
        <w:pStyle w:val="Title"/>
        <w:spacing w:after="0"/>
        <w:rPr>
          <w:rFonts w:ascii="Times New Roman" w:hAnsi="Times New Roman"/>
        </w:rPr>
      </w:pPr>
    </w:p>
    <w:p w14:paraId="3F4D2543" w14:textId="77777777" w:rsidR="009F52BD" w:rsidRPr="00F81F70" w:rsidRDefault="009F52BD" w:rsidP="007605F1">
      <w:pPr>
        <w:pStyle w:val="Title"/>
        <w:spacing w:after="0"/>
        <w:jc w:val="left"/>
        <w:rPr>
          <w:rFonts w:ascii="Times New Roman" w:hAnsi="Times New Roman"/>
        </w:rPr>
      </w:pPr>
    </w:p>
    <w:p w14:paraId="0D9B6272" w14:textId="77777777" w:rsidR="009F52BD" w:rsidRPr="00F81F70" w:rsidRDefault="009F52BD" w:rsidP="007605F1">
      <w:pPr>
        <w:pStyle w:val="Title"/>
        <w:spacing w:after="0"/>
        <w:jc w:val="left"/>
        <w:rPr>
          <w:rFonts w:ascii="Times New Roman" w:hAnsi="Times New Roman"/>
        </w:rPr>
      </w:pPr>
    </w:p>
    <w:p w14:paraId="1D1C607F" w14:textId="77777777" w:rsidR="009F52BD" w:rsidRPr="00F81F70" w:rsidRDefault="009F52BD" w:rsidP="007605F1">
      <w:pPr>
        <w:pStyle w:val="Title"/>
        <w:spacing w:after="0"/>
        <w:jc w:val="left"/>
        <w:rPr>
          <w:rFonts w:ascii="Times New Roman" w:hAnsi="Times New Roman"/>
        </w:rPr>
      </w:pPr>
    </w:p>
    <w:p w14:paraId="64AE9AA3" w14:textId="77777777" w:rsidR="009F52BD" w:rsidRPr="00F81F70" w:rsidRDefault="009F52BD" w:rsidP="007605F1">
      <w:pPr>
        <w:pStyle w:val="Title"/>
        <w:spacing w:after="0"/>
        <w:jc w:val="left"/>
        <w:rPr>
          <w:rFonts w:ascii="Times New Roman" w:hAnsi="Times New Roman"/>
        </w:rPr>
      </w:pPr>
    </w:p>
    <w:p w14:paraId="196F4964" w14:textId="77777777" w:rsidR="009F52BD" w:rsidRPr="00F81F70" w:rsidRDefault="009F52BD" w:rsidP="007605F1">
      <w:pPr>
        <w:pStyle w:val="Title"/>
        <w:spacing w:after="0"/>
        <w:jc w:val="left"/>
        <w:rPr>
          <w:rFonts w:ascii="Times New Roman" w:hAnsi="Times New Roman"/>
        </w:rPr>
      </w:pPr>
    </w:p>
    <w:p w14:paraId="5D5F4390" w14:textId="77777777" w:rsidR="009F52BD" w:rsidRPr="00F81F70" w:rsidRDefault="009F52BD" w:rsidP="007605F1">
      <w:pPr>
        <w:pStyle w:val="Title"/>
        <w:spacing w:after="0"/>
        <w:jc w:val="left"/>
        <w:rPr>
          <w:rFonts w:ascii="Times New Roman" w:hAnsi="Times New Roman"/>
        </w:rPr>
      </w:pPr>
    </w:p>
    <w:p w14:paraId="2AAFDB08" w14:textId="77777777" w:rsidR="009F52BD" w:rsidRPr="00F81F70" w:rsidRDefault="009F52BD" w:rsidP="007605F1">
      <w:pPr>
        <w:pStyle w:val="Title"/>
        <w:spacing w:after="0"/>
        <w:jc w:val="left"/>
        <w:rPr>
          <w:rFonts w:ascii="Times New Roman" w:hAnsi="Times New Roman"/>
        </w:rPr>
      </w:pPr>
    </w:p>
    <w:p w14:paraId="37729514" w14:textId="77777777" w:rsidR="009F52BD" w:rsidRPr="00F81F70" w:rsidRDefault="009F52BD" w:rsidP="007605F1">
      <w:pPr>
        <w:pStyle w:val="Title"/>
        <w:spacing w:after="0"/>
        <w:jc w:val="left"/>
        <w:rPr>
          <w:rFonts w:ascii="Times New Roman" w:hAnsi="Times New Roman"/>
        </w:rPr>
      </w:pPr>
    </w:p>
    <w:p w14:paraId="41CDEB92" w14:textId="77777777" w:rsidR="009F52BD" w:rsidRPr="00F81F70" w:rsidRDefault="009F52BD" w:rsidP="007605F1">
      <w:pPr>
        <w:pStyle w:val="Title"/>
        <w:spacing w:after="0"/>
        <w:jc w:val="left"/>
        <w:rPr>
          <w:rFonts w:ascii="Times New Roman" w:hAnsi="Times New Roman"/>
        </w:rPr>
      </w:pPr>
    </w:p>
    <w:p w14:paraId="13D30893" w14:textId="77777777" w:rsidR="009F52BD" w:rsidRPr="00F81F70" w:rsidRDefault="009F52BD" w:rsidP="007605F1">
      <w:pPr>
        <w:pStyle w:val="Title"/>
        <w:spacing w:after="0"/>
        <w:jc w:val="left"/>
        <w:rPr>
          <w:rFonts w:ascii="Times New Roman" w:hAnsi="Times New Roman"/>
        </w:rPr>
      </w:pPr>
    </w:p>
    <w:p w14:paraId="21FC9C49" w14:textId="77777777" w:rsidR="009F52BD" w:rsidRPr="00F81F70" w:rsidRDefault="009F52BD" w:rsidP="007605F1">
      <w:pPr>
        <w:pStyle w:val="Title"/>
        <w:spacing w:after="0"/>
        <w:jc w:val="left"/>
        <w:rPr>
          <w:rFonts w:ascii="Times New Roman" w:hAnsi="Times New Roman"/>
        </w:rPr>
      </w:pPr>
    </w:p>
    <w:p w14:paraId="73046ECA" w14:textId="77777777" w:rsidR="009F52BD" w:rsidRPr="00F81F70" w:rsidRDefault="009F52BD" w:rsidP="007605F1">
      <w:pPr>
        <w:pStyle w:val="Title"/>
        <w:spacing w:after="0"/>
        <w:jc w:val="left"/>
        <w:rPr>
          <w:rFonts w:ascii="Times New Roman" w:hAnsi="Times New Roman"/>
        </w:rPr>
      </w:pPr>
    </w:p>
    <w:p w14:paraId="0C1B2629" w14:textId="77777777" w:rsidR="009F52BD" w:rsidRPr="00F81F70" w:rsidRDefault="009F52BD" w:rsidP="007605F1">
      <w:pPr>
        <w:pStyle w:val="Title"/>
        <w:spacing w:after="0"/>
        <w:jc w:val="left"/>
        <w:rPr>
          <w:rFonts w:ascii="Times New Roman" w:hAnsi="Times New Roman"/>
        </w:rPr>
      </w:pPr>
    </w:p>
    <w:p w14:paraId="0893A03B" w14:textId="77777777" w:rsidR="009F52BD" w:rsidRPr="00F81F70" w:rsidRDefault="009F52BD" w:rsidP="007605F1">
      <w:pPr>
        <w:pStyle w:val="Title"/>
        <w:spacing w:after="0"/>
        <w:jc w:val="left"/>
        <w:rPr>
          <w:rFonts w:ascii="Times New Roman" w:hAnsi="Times New Roman"/>
        </w:rPr>
      </w:pPr>
    </w:p>
    <w:p w14:paraId="2276A6CA" w14:textId="5D93699D" w:rsidR="009F52BD" w:rsidRPr="00F81F70" w:rsidRDefault="007F6F53" w:rsidP="007F6F53">
      <w:pPr>
        <w:pStyle w:val="Title"/>
        <w:spacing w:after="0"/>
        <w:rPr>
          <w:rFonts w:ascii="Times New Roman" w:hAnsi="Times New Roman"/>
        </w:rPr>
      </w:pPr>
      <w:r w:rsidRPr="00F81F70">
        <w:rPr>
          <w:rFonts w:ascii="Times New Roman" w:hAnsi="Times New Roman"/>
        </w:rPr>
        <w:t xml:space="preserve">Updated </w:t>
      </w:r>
      <w:r w:rsidR="008379E6">
        <w:rPr>
          <w:rFonts w:ascii="Times New Roman" w:hAnsi="Times New Roman"/>
        </w:rPr>
        <w:t>March 2022</w:t>
      </w:r>
    </w:p>
    <w:p w14:paraId="3CE9656E" w14:textId="77777777" w:rsidR="009F52BD" w:rsidRPr="00F81F70" w:rsidRDefault="009F52BD">
      <w:pPr>
        <w:spacing w:after="0"/>
        <w:rPr>
          <w:b/>
          <w:bCs/>
          <w:kern w:val="28"/>
          <w:sz w:val="32"/>
          <w:szCs w:val="32"/>
        </w:rPr>
      </w:pPr>
      <w:r w:rsidRPr="00435C2F">
        <w:br w:type="page"/>
      </w:r>
    </w:p>
    <w:p w14:paraId="60E502D4" w14:textId="77777777" w:rsidR="009F52BD" w:rsidRPr="00435C2F" w:rsidRDefault="009F52BD" w:rsidP="00C05976">
      <w:pPr>
        <w:pStyle w:val="Title"/>
        <w:spacing w:after="0"/>
        <w:rPr>
          <w:rFonts w:ascii="Times New Roman" w:hAnsi="Times New Roman"/>
        </w:rPr>
      </w:pPr>
      <w:r w:rsidRPr="00435C2F">
        <w:rPr>
          <w:rFonts w:ascii="Times New Roman" w:hAnsi="Times New Roman"/>
        </w:rPr>
        <w:lastRenderedPageBreak/>
        <w:t>Table of Contents</w:t>
      </w:r>
    </w:p>
    <w:p w14:paraId="4CAA5F00" w14:textId="77777777" w:rsidR="009F52BD" w:rsidRPr="00435C2F" w:rsidRDefault="009F52BD" w:rsidP="00C05976">
      <w:pPr>
        <w:pStyle w:val="Title"/>
        <w:spacing w:after="0"/>
        <w:rPr>
          <w:rFonts w:ascii="Times New Roman" w:hAnsi="Times New Roman"/>
          <w:b w:val="0"/>
        </w:rPr>
      </w:pPr>
    </w:p>
    <w:p w14:paraId="3F0B50A0" w14:textId="77777777" w:rsidR="009F52BD" w:rsidRPr="00435C2F" w:rsidRDefault="009F52BD" w:rsidP="00C3010B">
      <w:pPr>
        <w:pStyle w:val="Title"/>
        <w:spacing w:after="0"/>
        <w:rPr>
          <w:rFonts w:ascii="Times New Roman" w:hAnsi="Times New Roman"/>
          <w:b w:val="0"/>
        </w:rPr>
      </w:pPr>
    </w:p>
    <w:p w14:paraId="2F52EC9C" w14:textId="438B00BD" w:rsidR="000F7EB6" w:rsidRDefault="00806BA2">
      <w:pPr>
        <w:pStyle w:val="TOC1"/>
        <w:rPr>
          <w:rFonts w:asciiTheme="minorHAnsi" w:eastAsiaTheme="minorEastAsia" w:hAnsiTheme="minorHAnsi" w:cstheme="minorBidi"/>
          <w:b w:val="0"/>
          <w:sz w:val="22"/>
          <w:szCs w:val="22"/>
        </w:rPr>
      </w:pPr>
      <w:r w:rsidRPr="00435C2F">
        <w:fldChar w:fldCharType="begin"/>
      </w:r>
      <w:r w:rsidR="009F52BD" w:rsidRPr="00435C2F">
        <w:instrText xml:space="preserve"> TOC \o "1-3" \h \z </w:instrText>
      </w:r>
      <w:r w:rsidRPr="00435C2F">
        <w:fldChar w:fldCharType="separate"/>
      </w:r>
      <w:hyperlink w:anchor="_Toc65067925" w:history="1">
        <w:r w:rsidR="000F7EB6" w:rsidRPr="002653E7">
          <w:rPr>
            <w:rStyle w:val="Hyperlink"/>
          </w:rPr>
          <w:t>1.0</w:t>
        </w:r>
        <w:r w:rsidR="000F7EB6">
          <w:rPr>
            <w:rFonts w:asciiTheme="minorHAnsi" w:eastAsiaTheme="minorEastAsia" w:hAnsiTheme="minorHAnsi" w:cstheme="minorBidi"/>
            <w:b w:val="0"/>
            <w:sz w:val="22"/>
            <w:szCs w:val="22"/>
          </w:rPr>
          <w:tab/>
        </w:r>
        <w:r w:rsidR="000F7EB6" w:rsidRPr="002653E7">
          <w:rPr>
            <w:rStyle w:val="Hyperlink"/>
          </w:rPr>
          <w:t>Introduction</w:t>
        </w:r>
        <w:r w:rsidR="000F7EB6">
          <w:rPr>
            <w:webHidden/>
          </w:rPr>
          <w:tab/>
        </w:r>
        <w:r w:rsidR="000F7EB6">
          <w:rPr>
            <w:webHidden/>
          </w:rPr>
          <w:fldChar w:fldCharType="begin"/>
        </w:r>
        <w:r w:rsidR="000F7EB6">
          <w:rPr>
            <w:webHidden/>
          </w:rPr>
          <w:instrText xml:space="preserve"> PAGEREF _Toc65067925 \h </w:instrText>
        </w:r>
        <w:r w:rsidR="000F7EB6">
          <w:rPr>
            <w:webHidden/>
          </w:rPr>
        </w:r>
        <w:r w:rsidR="000F7EB6">
          <w:rPr>
            <w:webHidden/>
          </w:rPr>
          <w:fldChar w:fldCharType="separate"/>
        </w:r>
        <w:r w:rsidR="000F7EB6">
          <w:rPr>
            <w:webHidden/>
          </w:rPr>
          <w:t>3</w:t>
        </w:r>
        <w:r w:rsidR="000F7EB6">
          <w:rPr>
            <w:webHidden/>
          </w:rPr>
          <w:fldChar w:fldCharType="end"/>
        </w:r>
      </w:hyperlink>
    </w:p>
    <w:p w14:paraId="1B4BE069" w14:textId="16D87171" w:rsidR="000F7EB6" w:rsidRDefault="00624F33">
      <w:pPr>
        <w:pStyle w:val="TOC1"/>
        <w:rPr>
          <w:rFonts w:asciiTheme="minorHAnsi" w:eastAsiaTheme="minorEastAsia" w:hAnsiTheme="minorHAnsi" w:cstheme="minorBidi"/>
          <w:b w:val="0"/>
          <w:sz w:val="22"/>
          <w:szCs w:val="22"/>
        </w:rPr>
      </w:pPr>
      <w:hyperlink w:anchor="_Toc65067928" w:history="1">
        <w:r w:rsidR="000F7EB6" w:rsidRPr="002653E7">
          <w:rPr>
            <w:rStyle w:val="Hyperlink"/>
          </w:rPr>
          <w:t>2.0</w:t>
        </w:r>
        <w:r w:rsidR="000F7EB6">
          <w:rPr>
            <w:rFonts w:asciiTheme="minorHAnsi" w:eastAsiaTheme="minorEastAsia" w:hAnsiTheme="minorHAnsi" w:cstheme="minorBidi"/>
            <w:b w:val="0"/>
            <w:sz w:val="22"/>
            <w:szCs w:val="22"/>
          </w:rPr>
          <w:tab/>
        </w:r>
        <w:r w:rsidR="000F7EB6" w:rsidRPr="002653E7">
          <w:rPr>
            <w:rStyle w:val="Hyperlink"/>
          </w:rPr>
          <w:t>Spill and TDG production</w:t>
        </w:r>
        <w:r w:rsidR="000F7EB6">
          <w:rPr>
            <w:webHidden/>
          </w:rPr>
          <w:tab/>
        </w:r>
        <w:r w:rsidR="000F7EB6">
          <w:rPr>
            <w:webHidden/>
          </w:rPr>
          <w:fldChar w:fldCharType="begin"/>
        </w:r>
        <w:r w:rsidR="000F7EB6">
          <w:rPr>
            <w:webHidden/>
          </w:rPr>
          <w:instrText xml:space="preserve"> PAGEREF _Toc65067928 \h </w:instrText>
        </w:r>
        <w:r w:rsidR="000F7EB6">
          <w:rPr>
            <w:webHidden/>
          </w:rPr>
        </w:r>
        <w:r w:rsidR="000F7EB6">
          <w:rPr>
            <w:webHidden/>
          </w:rPr>
          <w:fldChar w:fldCharType="separate"/>
        </w:r>
        <w:r w:rsidR="000F7EB6">
          <w:rPr>
            <w:webHidden/>
          </w:rPr>
          <w:t>3</w:t>
        </w:r>
        <w:r w:rsidR="000F7EB6">
          <w:rPr>
            <w:webHidden/>
          </w:rPr>
          <w:fldChar w:fldCharType="end"/>
        </w:r>
      </w:hyperlink>
    </w:p>
    <w:p w14:paraId="48ECD76A" w14:textId="28A36F87" w:rsidR="000F7EB6" w:rsidRDefault="00624F33">
      <w:pPr>
        <w:pStyle w:val="TOC1"/>
        <w:rPr>
          <w:rFonts w:asciiTheme="minorHAnsi" w:eastAsiaTheme="minorEastAsia" w:hAnsiTheme="minorHAnsi" w:cstheme="minorBidi"/>
          <w:b w:val="0"/>
          <w:sz w:val="22"/>
          <w:szCs w:val="22"/>
        </w:rPr>
      </w:pPr>
      <w:hyperlink w:anchor="_Toc65067929" w:history="1">
        <w:r w:rsidR="000F7EB6" w:rsidRPr="002653E7">
          <w:rPr>
            <w:rStyle w:val="Hyperlink"/>
          </w:rPr>
          <w:t>3.0</w:t>
        </w:r>
        <w:r w:rsidR="000F7EB6">
          <w:rPr>
            <w:rFonts w:asciiTheme="minorHAnsi" w:eastAsiaTheme="minorEastAsia" w:hAnsiTheme="minorHAnsi" w:cstheme="minorBidi"/>
            <w:b w:val="0"/>
            <w:sz w:val="22"/>
            <w:szCs w:val="22"/>
          </w:rPr>
          <w:tab/>
        </w:r>
        <w:r w:rsidR="000F7EB6" w:rsidRPr="002653E7">
          <w:rPr>
            <w:rStyle w:val="Hyperlink"/>
          </w:rPr>
          <w:t>TDG Management During Planned Fish Passage Spill</w:t>
        </w:r>
        <w:r w:rsidR="000F7EB6">
          <w:rPr>
            <w:webHidden/>
          </w:rPr>
          <w:tab/>
        </w:r>
        <w:r w:rsidR="000F7EB6">
          <w:rPr>
            <w:webHidden/>
          </w:rPr>
          <w:fldChar w:fldCharType="begin"/>
        </w:r>
        <w:r w:rsidR="000F7EB6">
          <w:rPr>
            <w:webHidden/>
          </w:rPr>
          <w:instrText xml:space="preserve"> PAGEREF _Toc65067929 \h </w:instrText>
        </w:r>
        <w:r w:rsidR="000F7EB6">
          <w:rPr>
            <w:webHidden/>
          </w:rPr>
        </w:r>
        <w:r w:rsidR="000F7EB6">
          <w:rPr>
            <w:webHidden/>
          </w:rPr>
          <w:fldChar w:fldCharType="separate"/>
        </w:r>
        <w:r w:rsidR="000F7EB6">
          <w:rPr>
            <w:webHidden/>
          </w:rPr>
          <w:t>6</w:t>
        </w:r>
        <w:r w:rsidR="000F7EB6">
          <w:rPr>
            <w:webHidden/>
          </w:rPr>
          <w:fldChar w:fldCharType="end"/>
        </w:r>
      </w:hyperlink>
    </w:p>
    <w:p w14:paraId="4110CAFC" w14:textId="193F67F5" w:rsidR="000F7EB6" w:rsidRDefault="00624F33">
      <w:pPr>
        <w:pStyle w:val="TOC1"/>
        <w:rPr>
          <w:rFonts w:asciiTheme="minorHAnsi" w:eastAsiaTheme="minorEastAsia" w:hAnsiTheme="minorHAnsi" w:cstheme="minorBidi"/>
          <w:b w:val="0"/>
          <w:sz w:val="22"/>
          <w:szCs w:val="22"/>
        </w:rPr>
      </w:pPr>
      <w:hyperlink w:anchor="_Toc65067930" w:history="1">
        <w:r w:rsidR="000F7EB6" w:rsidRPr="002653E7">
          <w:rPr>
            <w:rStyle w:val="Hyperlink"/>
          </w:rPr>
          <w:t>4.0</w:t>
        </w:r>
        <w:r w:rsidR="000F7EB6">
          <w:rPr>
            <w:rFonts w:asciiTheme="minorHAnsi" w:eastAsiaTheme="minorEastAsia" w:hAnsiTheme="minorHAnsi" w:cstheme="minorBidi"/>
            <w:b w:val="0"/>
            <w:sz w:val="22"/>
            <w:szCs w:val="22"/>
          </w:rPr>
          <w:tab/>
        </w:r>
        <w:r w:rsidR="000F7EB6" w:rsidRPr="002653E7">
          <w:rPr>
            <w:rStyle w:val="Hyperlink"/>
          </w:rPr>
          <w:t>TDG Management During Forced Lack of Load Spill</w:t>
        </w:r>
        <w:r w:rsidR="000F7EB6">
          <w:rPr>
            <w:webHidden/>
          </w:rPr>
          <w:tab/>
        </w:r>
        <w:r w:rsidR="000F7EB6">
          <w:rPr>
            <w:webHidden/>
          </w:rPr>
          <w:fldChar w:fldCharType="begin"/>
        </w:r>
        <w:r w:rsidR="000F7EB6">
          <w:rPr>
            <w:webHidden/>
          </w:rPr>
          <w:instrText xml:space="preserve"> PAGEREF _Toc65067930 \h </w:instrText>
        </w:r>
        <w:r w:rsidR="000F7EB6">
          <w:rPr>
            <w:webHidden/>
          </w:rPr>
        </w:r>
        <w:r w:rsidR="000F7EB6">
          <w:rPr>
            <w:webHidden/>
          </w:rPr>
          <w:fldChar w:fldCharType="separate"/>
        </w:r>
        <w:r w:rsidR="000F7EB6">
          <w:rPr>
            <w:webHidden/>
          </w:rPr>
          <w:t>6</w:t>
        </w:r>
        <w:r w:rsidR="000F7EB6">
          <w:rPr>
            <w:webHidden/>
          </w:rPr>
          <w:fldChar w:fldCharType="end"/>
        </w:r>
      </w:hyperlink>
    </w:p>
    <w:p w14:paraId="3C47F858" w14:textId="72133245" w:rsidR="000F7EB6" w:rsidRDefault="00624F33">
      <w:pPr>
        <w:pStyle w:val="TOC2"/>
        <w:rPr>
          <w:rFonts w:asciiTheme="minorHAnsi" w:eastAsiaTheme="minorEastAsia" w:hAnsiTheme="minorHAnsi" w:cstheme="minorBidi"/>
          <w:sz w:val="22"/>
          <w:szCs w:val="22"/>
        </w:rPr>
      </w:pPr>
      <w:hyperlink w:anchor="_Toc65067931" w:history="1">
        <w:r w:rsidR="000F7EB6" w:rsidRPr="002653E7">
          <w:rPr>
            <w:rStyle w:val="Hyperlink"/>
          </w:rPr>
          <w:t>Spill Priority List</w:t>
        </w:r>
        <w:r w:rsidR="000F7EB6">
          <w:rPr>
            <w:webHidden/>
          </w:rPr>
          <w:tab/>
        </w:r>
        <w:r w:rsidR="000F7EB6">
          <w:rPr>
            <w:webHidden/>
          </w:rPr>
          <w:fldChar w:fldCharType="begin"/>
        </w:r>
        <w:r w:rsidR="000F7EB6">
          <w:rPr>
            <w:webHidden/>
          </w:rPr>
          <w:instrText xml:space="preserve"> PAGEREF _Toc65067931 \h </w:instrText>
        </w:r>
        <w:r w:rsidR="000F7EB6">
          <w:rPr>
            <w:webHidden/>
          </w:rPr>
        </w:r>
        <w:r w:rsidR="000F7EB6">
          <w:rPr>
            <w:webHidden/>
          </w:rPr>
          <w:fldChar w:fldCharType="separate"/>
        </w:r>
        <w:r w:rsidR="000F7EB6">
          <w:rPr>
            <w:webHidden/>
          </w:rPr>
          <w:t>6</w:t>
        </w:r>
        <w:r w:rsidR="000F7EB6">
          <w:rPr>
            <w:webHidden/>
          </w:rPr>
          <w:fldChar w:fldCharType="end"/>
        </w:r>
      </w:hyperlink>
    </w:p>
    <w:p w14:paraId="300F16CB" w14:textId="4F10B800" w:rsidR="000F7EB6" w:rsidRDefault="00624F33">
      <w:pPr>
        <w:pStyle w:val="TOC2"/>
        <w:rPr>
          <w:rFonts w:asciiTheme="minorHAnsi" w:eastAsiaTheme="minorEastAsia" w:hAnsiTheme="minorHAnsi" w:cstheme="minorBidi"/>
          <w:sz w:val="22"/>
          <w:szCs w:val="22"/>
        </w:rPr>
      </w:pPr>
      <w:hyperlink w:anchor="_Toc65067932" w:history="1">
        <w:r w:rsidR="000F7EB6" w:rsidRPr="002653E7">
          <w:rPr>
            <w:rStyle w:val="Hyperlink"/>
          </w:rPr>
          <w:t>4.1</w:t>
        </w:r>
        <w:r w:rsidR="000F7EB6">
          <w:rPr>
            <w:rFonts w:asciiTheme="minorHAnsi" w:eastAsiaTheme="minorEastAsia" w:hAnsiTheme="minorHAnsi" w:cstheme="minorBidi"/>
            <w:sz w:val="22"/>
            <w:szCs w:val="22"/>
          </w:rPr>
          <w:tab/>
        </w:r>
        <w:r w:rsidR="000F7EB6" w:rsidRPr="002653E7">
          <w:rPr>
            <w:rStyle w:val="Hyperlink"/>
          </w:rPr>
          <w:t>Spill Levels</w:t>
        </w:r>
        <w:r w:rsidR="000F7EB6">
          <w:rPr>
            <w:webHidden/>
          </w:rPr>
          <w:tab/>
        </w:r>
        <w:r w:rsidR="000F7EB6">
          <w:rPr>
            <w:webHidden/>
          </w:rPr>
          <w:fldChar w:fldCharType="begin"/>
        </w:r>
        <w:r w:rsidR="000F7EB6">
          <w:rPr>
            <w:webHidden/>
          </w:rPr>
          <w:instrText xml:space="preserve"> PAGEREF _Toc65067932 \h </w:instrText>
        </w:r>
        <w:r w:rsidR="000F7EB6">
          <w:rPr>
            <w:webHidden/>
          </w:rPr>
        </w:r>
        <w:r w:rsidR="000F7EB6">
          <w:rPr>
            <w:webHidden/>
          </w:rPr>
          <w:fldChar w:fldCharType="separate"/>
        </w:r>
        <w:r w:rsidR="000F7EB6">
          <w:rPr>
            <w:webHidden/>
          </w:rPr>
          <w:t>6</w:t>
        </w:r>
        <w:r w:rsidR="000F7EB6">
          <w:rPr>
            <w:webHidden/>
          </w:rPr>
          <w:fldChar w:fldCharType="end"/>
        </w:r>
      </w:hyperlink>
    </w:p>
    <w:p w14:paraId="4DEA46E2" w14:textId="39E2CBA1" w:rsidR="000F7EB6" w:rsidRDefault="00624F33">
      <w:pPr>
        <w:pStyle w:val="TOC2"/>
        <w:rPr>
          <w:rFonts w:asciiTheme="minorHAnsi" w:eastAsiaTheme="minorEastAsia" w:hAnsiTheme="minorHAnsi" w:cstheme="minorBidi"/>
          <w:sz w:val="22"/>
          <w:szCs w:val="22"/>
        </w:rPr>
      </w:pPr>
      <w:hyperlink w:anchor="_Toc65067933" w:history="1">
        <w:r w:rsidR="000F7EB6" w:rsidRPr="002653E7">
          <w:rPr>
            <w:rStyle w:val="Hyperlink"/>
          </w:rPr>
          <w:t>4.2</w:t>
        </w:r>
        <w:r w:rsidR="000F7EB6">
          <w:rPr>
            <w:rFonts w:asciiTheme="minorHAnsi" w:eastAsiaTheme="minorEastAsia" w:hAnsiTheme="minorHAnsi" w:cstheme="minorBidi"/>
            <w:sz w:val="22"/>
            <w:szCs w:val="22"/>
          </w:rPr>
          <w:tab/>
        </w:r>
        <w:r w:rsidR="000F7EB6" w:rsidRPr="002653E7">
          <w:rPr>
            <w:rStyle w:val="Hyperlink"/>
          </w:rPr>
          <w:t>Factors for Setting Spill Priority</w:t>
        </w:r>
        <w:r w:rsidR="000F7EB6">
          <w:rPr>
            <w:webHidden/>
          </w:rPr>
          <w:tab/>
        </w:r>
        <w:r w:rsidR="000F7EB6">
          <w:rPr>
            <w:webHidden/>
          </w:rPr>
          <w:fldChar w:fldCharType="begin"/>
        </w:r>
        <w:r w:rsidR="000F7EB6">
          <w:rPr>
            <w:webHidden/>
          </w:rPr>
          <w:instrText xml:space="preserve"> PAGEREF _Toc65067933 \h </w:instrText>
        </w:r>
        <w:r w:rsidR="000F7EB6">
          <w:rPr>
            <w:webHidden/>
          </w:rPr>
        </w:r>
        <w:r w:rsidR="000F7EB6">
          <w:rPr>
            <w:webHidden/>
          </w:rPr>
          <w:fldChar w:fldCharType="separate"/>
        </w:r>
        <w:r w:rsidR="000F7EB6">
          <w:rPr>
            <w:webHidden/>
          </w:rPr>
          <w:t>7</w:t>
        </w:r>
        <w:r w:rsidR="000F7EB6">
          <w:rPr>
            <w:webHidden/>
          </w:rPr>
          <w:fldChar w:fldCharType="end"/>
        </w:r>
      </w:hyperlink>
    </w:p>
    <w:p w14:paraId="2FAE1D7A" w14:textId="4D89263B" w:rsidR="000F7EB6" w:rsidRDefault="00624F33">
      <w:pPr>
        <w:pStyle w:val="TOC1"/>
        <w:rPr>
          <w:rFonts w:asciiTheme="minorHAnsi" w:eastAsiaTheme="minorEastAsia" w:hAnsiTheme="minorHAnsi" w:cstheme="minorBidi"/>
          <w:b w:val="0"/>
          <w:sz w:val="22"/>
          <w:szCs w:val="22"/>
        </w:rPr>
      </w:pPr>
      <w:hyperlink w:anchor="_Toc65067934" w:history="1">
        <w:r w:rsidR="000F7EB6" w:rsidRPr="002653E7">
          <w:rPr>
            <w:rStyle w:val="Hyperlink"/>
          </w:rPr>
          <w:t>5.0</w:t>
        </w:r>
        <w:r w:rsidR="000F7EB6">
          <w:rPr>
            <w:rFonts w:asciiTheme="minorHAnsi" w:eastAsiaTheme="minorEastAsia" w:hAnsiTheme="minorHAnsi" w:cstheme="minorBidi"/>
            <w:b w:val="0"/>
            <w:sz w:val="22"/>
            <w:szCs w:val="22"/>
          </w:rPr>
          <w:tab/>
        </w:r>
        <w:r w:rsidR="000F7EB6" w:rsidRPr="002653E7">
          <w:rPr>
            <w:rStyle w:val="Hyperlink"/>
          </w:rPr>
          <w:t>TDG Management Policy, Guidance and Considerations</w:t>
        </w:r>
        <w:r w:rsidR="000F7EB6">
          <w:rPr>
            <w:webHidden/>
          </w:rPr>
          <w:tab/>
        </w:r>
        <w:r w:rsidR="000F7EB6">
          <w:rPr>
            <w:webHidden/>
          </w:rPr>
          <w:fldChar w:fldCharType="begin"/>
        </w:r>
        <w:r w:rsidR="000F7EB6">
          <w:rPr>
            <w:webHidden/>
          </w:rPr>
          <w:instrText xml:space="preserve"> PAGEREF _Toc65067934 \h </w:instrText>
        </w:r>
        <w:r w:rsidR="000F7EB6">
          <w:rPr>
            <w:webHidden/>
          </w:rPr>
        </w:r>
        <w:r w:rsidR="000F7EB6">
          <w:rPr>
            <w:webHidden/>
          </w:rPr>
          <w:fldChar w:fldCharType="separate"/>
        </w:r>
        <w:r w:rsidR="000F7EB6">
          <w:rPr>
            <w:webHidden/>
          </w:rPr>
          <w:t>8</w:t>
        </w:r>
        <w:r w:rsidR="000F7EB6">
          <w:rPr>
            <w:webHidden/>
          </w:rPr>
          <w:fldChar w:fldCharType="end"/>
        </w:r>
      </w:hyperlink>
    </w:p>
    <w:p w14:paraId="45AD8ED6" w14:textId="42D5CFE8" w:rsidR="000F7EB6" w:rsidRDefault="00624F33">
      <w:pPr>
        <w:pStyle w:val="TOC1"/>
        <w:rPr>
          <w:rFonts w:asciiTheme="minorHAnsi" w:eastAsiaTheme="minorEastAsia" w:hAnsiTheme="minorHAnsi" w:cstheme="minorBidi"/>
          <w:b w:val="0"/>
          <w:sz w:val="22"/>
          <w:szCs w:val="22"/>
        </w:rPr>
      </w:pPr>
      <w:hyperlink w:anchor="_Toc65067935" w:history="1">
        <w:r w:rsidR="000F7EB6" w:rsidRPr="002653E7">
          <w:rPr>
            <w:rStyle w:val="Hyperlink"/>
          </w:rPr>
          <w:t>6.0</w:t>
        </w:r>
        <w:r w:rsidR="000F7EB6">
          <w:rPr>
            <w:rFonts w:asciiTheme="minorHAnsi" w:eastAsiaTheme="minorEastAsia" w:hAnsiTheme="minorHAnsi" w:cstheme="minorBidi"/>
            <w:b w:val="0"/>
            <w:sz w:val="22"/>
            <w:szCs w:val="22"/>
          </w:rPr>
          <w:tab/>
        </w:r>
        <w:r w:rsidR="000F7EB6" w:rsidRPr="002653E7">
          <w:rPr>
            <w:rStyle w:val="Hyperlink"/>
          </w:rPr>
          <w:t>TDG Monitoring Program</w:t>
        </w:r>
        <w:r w:rsidR="000F7EB6">
          <w:rPr>
            <w:webHidden/>
          </w:rPr>
          <w:tab/>
        </w:r>
        <w:r w:rsidR="000F7EB6">
          <w:rPr>
            <w:webHidden/>
          </w:rPr>
          <w:fldChar w:fldCharType="begin"/>
        </w:r>
        <w:r w:rsidR="000F7EB6">
          <w:rPr>
            <w:webHidden/>
          </w:rPr>
          <w:instrText xml:space="preserve"> PAGEREF _Toc65067935 \h </w:instrText>
        </w:r>
        <w:r w:rsidR="000F7EB6">
          <w:rPr>
            <w:webHidden/>
          </w:rPr>
        </w:r>
        <w:r w:rsidR="000F7EB6">
          <w:rPr>
            <w:webHidden/>
          </w:rPr>
          <w:fldChar w:fldCharType="separate"/>
        </w:r>
        <w:r w:rsidR="000F7EB6">
          <w:rPr>
            <w:webHidden/>
          </w:rPr>
          <w:t>9</w:t>
        </w:r>
        <w:r w:rsidR="000F7EB6">
          <w:rPr>
            <w:webHidden/>
          </w:rPr>
          <w:fldChar w:fldCharType="end"/>
        </w:r>
      </w:hyperlink>
    </w:p>
    <w:p w14:paraId="2E4D8674" w14:textId="61124351" w:rsidR="000F7EB6" w:rsidRDefault="00624F33">
      <w:pPr>
        <w:pStyle w:val="TOC2"/>
        <w:rPr>
          <w:rFonts w:asciiTheme="minorHAnsi" w:eastAsiaTheme="minorEastAsia" w:hAnsiTheme="minorHAnsi" w:cstheme="minorBidi"/>
          <w:sz w:val="22"/>
          <w:szCs w:val="22"/>
        </w:rPr>
      </w:pPr>
      <w:hyperlink w:anchor="_Toc65067936" w:history="1">
        <w:r w:rsidR="000F7EB6" w:rsidRPr="002653E7">
          <w:rPr>
            <w:rStyle w:val="Hyperlink"/>
          </w:rPr>
          <w:t>6.1</w:t>
        </w:r>
        <w:r w:rsidR="000F7EB6">
          <w:rPr>
            <w:rFonts w:asciiTheme="minorHAnsi" w:eastAsiaTheme="minorEastAsia" w:hAnsiTheme="minorHAnsi" w:cstheme="minorBidi"/>
            <w:sz w:val="22"/>
            <w:szCs w:val="22"/>
          </w:rPr>
          <w:tab/>
        </w:r>
        <w:r w:rsidR="000F7EB6" w:rsidRPr="002653E7">
          <w:rPr>
            <w:rStyle w:val="Hyperlink"/>
          </w:rPr>
          <w:t>Malfunctioning TDG Gauges</w:t>
        </w:r>
        <w:r w:rsidR="000F7EB6">
          <w:rPr>
            <w:webHidden/>
          </w:rPr>
          <w:tab/>
        </w:r>
        <w:r w:rsidR="000F7EB6">
          <w:rPr>
            <w:webHidden/>
          </w:rPr>
          <w:fldChar w:fldCharType="begin"/>
        </w:r>
        <w:r w:rsidR="000F7EB6">
          <w:rPr>
            <w:webHidden/>
          </w:rPr>
          <w:instrText xml:space="preserve"> PAGEREF _Toc65067936 \h </w:instrText>
        </w:r>
        <w:r w:rsidR="000F7EB6">
          <w:rPr>
            <w:webHidden/>
          </w:rPr>
        </w:r>
        <w:r w:rsidR="000F7EB6">
          <w:rPr>
            <w:webHidden/>
          </w:rPr>
          <w:fldChar w:fldCharType="separate"/>
        </w:r>
        <w:r w:rsidR="000F7EB6">
          <w:rPr>
            <w:webHidden/>
          </w:rPr>
          <w:t>9</w:t>
        </w:r>
        <w:r w:rsidR="000F7EB6">
          <w:rPr>
            <w:webHidden/>
          </w:rPr>
          <w:fldChar w:fldCharType="end"/>
        </w:r>
      </w:hyperlink>
    </w:p>
    <w:p w14:paraId="6F2BDA64" w14:textId="3C6C92E1" w:rsidR="000F7EB6" w:rsidRDefault="00624F33">
      <w:pPr>
        <w:pStyle w:val="TOC1"/>
        <w:rPr>
          <w:rFonts w:asciiTheme="minorHAnsi" w:eastAsiaTheme="minorEastAsia" w:hAnsiTheme="minorHAnsi" w:cstheme="minorBidi"/>
          <w:b w:val="0"/>
          <w:sz w:val="22"/>
          <w:szCs w:val="22"/>
        </w:rPr>
      </w:pPr>
      <w:hyperlink w:anchor="_Toc65067937" w:history="1">
        <w:r w:rsidR="000F7EB6" w:rsidRPr="002653E7">
          <w:rPr>
            <w:rStyle w:val="Hyperlink"/>
          </w:rPr>
          <w:t>7.0</w:t>
        </w:r>
        <w:r w:rsidR="000F7EB6">
          <w:rPr>
            <w:rFonts w:asciiTheme="minorHAnsi" w:eastAsiaTheme="minorEastAsia" w:hAnsiTheme="minorHAnsi" w:cstheme="minorBidi"/>
            <w:b w:val="0"/>
            <w:sz w:val="22"/>
            <w:szCs w:val="22"/>
          </w:rPr>
          <w:tab/>
        </w:r>
        <w:r w:rsidR="000F7EB6" w:rsidRPr="002653E7">
          <w:rPr>
            <w:rStyle w:val="Hyperlink"/>
          </w:rPr>
          <w:t>Procedure for Setting Spill Caps</w:t>
        </w:r>
        <w:r w:rsidR="000F7EB6">
          <w:rPr>
            <w:webHidden/>
          </w:rPr>
          <w:tab/>
        </w:r>
        <w:r w:rsidR="000F7EB6">
          <w:rPr>
            <w:webHidden/>
          </w:rPr>
          <w:fldChar w:fldCharType="begin"/>
        </w:r>
        <w:r w:rsidR="000F7EB6">
          <w:rPr>
            <w:webHidden/>
          </w:rPr>
          <w:instrText xml:space="preserve"> PAGEREF _Toc65067937 \h </w:instrText>
        </w:r>
        <w:r w:rsidR="000F7EB6">
          <w:rPr>
            <w:webHidden/>
          </w:rPr>
        </w:r>
        <w:r w:rsidR="000F7EB6">
          <w:rPr>
            <w:webHidden/>
          </w:rPr>
          <w:fldChar w:fldCharType="separate"/>
        </w:r>
        <w:r w:rsidR="000F7EB6">
          <w:rPr>
            <w:webHidden/>
          </w:rPr>
          <w:t>9</w:t>
        </w:r>
        <w:r w:rsidR="000F7EB6">
          <w:rPr>
            <w:webHidden/>
          </w:rPr>
          <w:fldChar w:fldCharType="end"/>
        </w:r>
      </w:hyperlink>
    </w:p>
    <w:p w14:paraId="00662EC2" w14:textId="7EC99493" w:rsidR="000F7EB6" w:rsidRDefault="00624F33">
      <w:pPr>
        <w:pStyle w:val="TOC1"/>
        <w:rPr>
          <w:rFonts w:asciiTheme="minorHAnsi" w:eastAsiaTheme="minorEastAsia" w:hAnsiTheme="minorHAnsi" w:cstheme="minorBidi"/>
          <w:b w:val="0"/>
          <w:sz w:val="22"/>
          <w:szCs w:val="22"/>
        </w:rPr>
      </w:pPr>
      <w:hyperlink w:anchor="_Toc65067938" w:history="1">
        <w:r w:rsidR="000F7EB6" w:rsidRPr="002653E7">
          <w:rPr>
            <w:rStyle w:val="Hyperlink"/>
          </w:rPr>
          <w:t>8.0</w:t>
        </w:r>
        <w:r w:rsidR="000F7EB6">
          <w:rPr>
            <w:rFonts w:asciiTheme="minorHAnsi" w:eastAsiaTheme="minorEastAsia" w:hAnsiTheme="minorHAnsi" w:cstheme="minorBidi"/>
            <w:b w:val="0"/>
            <w:sz w:val="22"/>
            <w:szCs w:val="22"/>
          </w:rPr>
          <w:tab/>
        </w:r>
        <w:r w:rsidR="000F7EB6" w:rsidRPr="002653E7">
          <w:rPr>
            <w:rStyle w:val="Hyperlink"/>
          </w:rPr>
          <w:t>Gas Bubble Trauma Monitoring</w:t>
        </w:r>
        <w:r w:rsidR="000F7EB6">
          <w:rPr>
            <w:webHidden/>
          </w:rPr>
          <w:tab/>
        </w:r>
        <w:r w:rsidR="000F7EB6">
          <w:rPr>
            <w:webHidden/>
          </w:rPr>
          <w:fldChar w:fldCharType="begin"/>
        </w:r>
        <w:r w:rsidR="000F7EB6">
          <w:rPr>
            <w:webHidden/>
          </w:rPr>
          <w:instrText xml:space="preserve"> PAGEREF _Toc65067938 \h </w:instrText>
        </w:r>
        <w:r w:rsidR="000F7EB6">
          <w:rPr>
            <w:webHidden/>
          </w:rPr>
        </w:r>
        <w:r w:rsidR="000F7EB6">
          <w:rPr>
            <w:webHidden/>
          </w:rPr>
          <w:fldChar w:fldCharType="separate"/>
        </w:r>
        <w:r w:rsidR="000F7EB6">
          <w:rPr>
            <w:webHidden/>
          </w:rPr>
          <w:t>11</w:t>
        </w:r>
        <w:r w:rsidR="000F7EB6">
          <w:rPr>
            <w:webHidden/>
          </w:rPr>
          <w:fldChar w:fldCharType="end"/>
        </w:r>
      </w:hyperlink>
    </w:p>
    <w:p w14:paraId="076BB31D" w14:textId="77777777" w:rsidR="009F52BD" w:rsidRPr="00435C2F" w:rsidRDefault="00806BA2" w:rsidP="00C3010B">
      <w:pPr>
        <w:pStyle w:val="Title"/>
        <w:spacing w:after="0"/>
        <w:jc w:val="left"/>
        <w:rPr>
          <w:rFonts w:ascii="Times New Roman" w:hAnsi="Times New Roman"/>
        </w:rPr>
      </w:pPr>
      <w:r w:rsidRPr="00435C2F">
        <w:rPr>
          <w:rFonts w:ascii="Times New Roman" w:hAnsi="Times New Roman"/>
        </w:rPr>
        <w:fldChar w:fldCharType="end"/>
      </w:r>
    </w:p>
    <w:p w14:paraId="49C3057C" w14:textId="77777777" w:rsidR="009F52BD" w:rsidRPr="00435C2F" w:rsidRDefault="009F52BD" w:rsidP="00C05976">
      <w:pPr>
        <w:pStyle w:val="Title"/>
        <w:spacing w:after="0"/>
        <w:jc w:val="left"/>
        <w:rPr>
          <w:rFonts w:ascii="Times New Roman" w:hAnsi="Times New Roman"/>
        </w:rPr>
      </w:pPr>
    </w:p>
    <w:p w14:paraId="59B6531B" w14:textId="77777777" w:rsidR="009F52BD" w:rsidRPr="00435C2F" w:rsidRDefault="009F52BD" w:rsidP="007605F1">
      <w:pPr>
        <w:pStyle w:val="Title"/>
        <w:spacing w:after="0"/>
        <w:jc w:val="left"/>
        <w:rPr>
          <w:rFonts w:ascii="Times New Roman" w:hAnsi="Times New Roman"/>
        </w:rPr>
      </w:pPr>
    </w:p>
    <w:p w14:paraId="429F07ED" w14:textId="77777777" w:rsidR="009F52BD" w:rsidRPr="00F81F70" w:rsidRDefault="009F52BD" w:rsidP="009A6257">
      <w:pPr>
        <w:pStyle w:val="Title"/>
        <w:spacing w:after="0"/>
        <w:rPr>
          <w:rFonts w:ascii="Times New Roman" w:hAnsi="Times New Roman"/>
          <w:sz w:val="20"/>
          <w:szCs w:val="20"/>
        </w:rPr>
      </w:pPr>
      <w:r w:rsidRPr="00F81F70">
        <w:rPr>
          <w:rFonts w:ascii="Times New Roman" w:hAnsi="Times New Roman"/>
        </w:rPr>
        <w:br w:type="page"/>
      </w:r>
    </w:p>
    <w:p w14:paraId="69FFF61F" w14:textId="77777777" w:rsidR="0036043C" w:rsidRPr="00435C2F" w:rsidRDefault="009F52BD" w:rsidP="0048652C">
      <w:pPr>
        <w:pStyle w:val="Heading1"/>
      </w:pPr>
      <w:bookmarkStart w:id="0" w:name="_Toc241986475"/>
      <w:bookmarkStart w:id="1" w:name="_Toc242085128"/>
      <w:bookmarkStart w:id="2" w:name="_Toc242232469"/>
      <w:bookmarkStart w:id="3" w:name="_Toc36479865"/>
      <w:bookmarkStart w:id="4" w:name="_Toc65067925"/>
      <w:r w:rsidRPr="00435C2F">
        <w:lastRenderedPageBreak/>
        <w:t>Introduction</w:t>
      </w:r>
      <w:bookmarkStart w:id="5" w:name="_Toc241912595"/>
      <w:bookmarkStart w:id="6" w:name="_Toc241971123"/>
      <w:bookmarkEnd w:id="0"/>
      <w:bookmarkEnd w:id="1"/>
      <w:bookmarkEnd w:id="2"/>
      <w:bookmarkEnd w:id="3"/>
      <w:bookmarkEnd w:id="4"/>
      <w:bookmarkEnd w:id="5"/>
      <w:bookmarkEnd w:id="6"/>
    </w:p>
    <w:p w14:paraId="1B91FA1A" w14:textId="38499FB9" w:rsidR="00331D6F" w:rsidRPr="00435C2F" w:rsidRDefault="00F46675" w:rsidP="003C5236">
      <w:pPr>
        <w:spacing w:after="0"/>
      </w:pPr>
      <w:r w:rsidRPr="00435C2F">
        <w:t>Throughout the</w:t>
      </w:r>
      <w:r w:rsidR="00D0426A" w:rsidRPr="00435C2F">
        <w:t xml:space="preserve"> Columbia River System</w:t>
      </w:r>
      <w:r w:rsidRPr="0072179E">
        <w:t xml:space="preserve"> </w:t>
      </w:r>
      <w:r w:rsidR="009F52BD" w:rsidRPr="0072179E">
        <w:t>elevated levels of total dissolved gas (TDG) saturation are observed wher</w:t>
      </w:r>
      <w:r w:rsidR="009F52BD" w:rsidRPr="00435C2F">
        <w:t>e spill occurs at</w:t>
      </w:r>
      <w:r w:rsidR="005A0C2E" w:rsidRPr="00435C2F">
        <w:t xml:space="preserve"> U.S. Army Corps of Engineers (Corps)</w:t>
      </w:r>
      <w:r w:rsidR="009F52BD" w:rsidRPr="00435C2F">
        <w:t xml:space="preserve"> dams.  This TDG Management Plan </w:t>
      </w:r>
      <w:r w:rsidR="00DA035F" w:rsidRPr="00435C2F">
        <w:t xml:space="preserve">(Plan) </w:t>
      </w:r>
      <w:r w:rsidRPr="00435C2F">
        <w:t>describes</w:t>
      </w:r>
      <w:r w:rsidR="001855B0">
        <w:t xml:space="preserve"> the process and procedures for implementing</w:t>
      </w:r>
      <w:r w:rsidR="009F52BD" w:rsidRPr="00435C2F">
        <w:t xml:space="preserve"> </w:t>
      </w:r>
      <w:r w:rsidR="001855B0">
        <w:t>planned spill for fish passage, forced</w:t>
      </w:r>
      <w:r w:rsidR="001855B0" w:rsidRPr="00435C2F">
        <w:t xml:space="preserve"> </w:t>
      </w:r>
      <w:r w:rsidR="009F52BD" w:rsidRPr="00435C2F">
        <w:t xml:space="preserve">spill, use of the </w:t>
      </w:r>
      <w:r w:rsidR="00E82F1A" w:rsidRPr="00435C2F">
        <w:t>S</w:t>
      </w:r>
      <w:r w:rsidR="009F52BD" w:rsidRPr="00435C2F">
        <w:t xml:space="preserve">pill </w:t>
      </w:r>
      <w:r w:rsidR="00E82F1A" w:rsidRPr="00435C2F">
        <w:t>P</w:t>
      </w:r>
      <w:r w:rsidR="009F52BD" w:rsidRPr="00435C2F">
        <w:t xml:space="preserve">riority </w:t>
      </w:r>
      <w:r w:rsidR="00E82F1A" w:rsidRPr="00435C2F">
        <w:t>L</w:t>
      </w:r>
      <w:r w:rsidR="009F52BD" w:rsidRPr="00435C2F">
        <w:t>ist,</w:t>
      </w:r>
      <w:r w:rsidR="001855B0">
        <w:t xml:space="preserve"> and</w:t>
      </w:r>
      <w:r w:rsidR="009F52BD" w:rsidRPr="00435C2F">
        <w:t xml:space="preserve"> setting spill caps.</w:t>
      </w:r>
      <w:r w:rsidR="00DA035F" w:rsidRPr="00435C2F">
        <w:t xml:space="preserve">  </w:t>
      </w:r>
    </w:p>
    <w:p w14:paraId="4A346E11" w14:textId="77777777" w:rsidR="00331D6F" w:rsidRPr="00435C2F" w:rsidRDefault="00331D6F" w:rsidP="003C5236">
      <w:pPr>
        <w:spacing w:after="0"/>
      </w:pPr>
    </w:p>
    <w:p w14:paraId="341D9759" w14:textId="6DA31D18" w:rsidR="001855B0" w:rsidRPr="0072179E" w:rsidRDefault="00331D6F" w:rsidP="003C5236">
      <w:pPr>
        <w:spacing w:after="0"/>
      </w:pPr>
      <w:r w:rsidRPr="00435C2F">
        <w:t xml:space="preserve">The </w:t>
      </w:r>
      <w:r w:rsidR="008D66F5">
        <w:t xml:space="preserve">Corps, </w:t>
      </w:r>
      <w:r w:rsidR="00316146">
        <w:t xml:space="preserve">the </w:t>
      </w:r>
      <w:r w:rsidR="00316146">
        <w:rPr>
          <w:spacing w:val="-7"/>
        </w:rPr>
        <w:t>U.S. Bureau of Reclamation</w:t>
      </w:r>
      <w:r w:rsidR="00C627E6">
        <w:rPr>
          <w:spacing w:val="-7"/>
        </w:rPr>
        <w:t xml:space="preserve"> (Reclamation)</w:t>
      </w:r>
      <w:r w:rsidR="00316146">
        <w:rPr>
          <w:spacing w:val="-7"/>
        </w:rPr>
        <w:t>, and the Bonneville Power Administration (B</w:t>
      </w:r>
      <w:r w:rsidR="00C627E6">
        <w:rPr>
          <w:spacing w:val="-7"/>
        </w:rPr>
        <w:t>PA</w:t>
      </w:r>
      <w:r w:rsidR="00316146">
        <w:rPr>
          <w:spacing w:val="-7"/>
        </w:rPr>
        <w:t>) (collectively referred to as the</w:t>
      </w:r>
      <w:r w:rsidR="00316146">
        <w:t xml:space="preserve"> “Action Agencies”</w:t>
      </w:r>
      <w:r w:rsidR="00316146">
        <w:rPr>
          <w:spacing w:val="-7"/>
        </w:rPr>
        <w:t>)</w:t>
      </w:r>
      <w:r w:rsidR="00316146">
        <w:t xml:space="preserve"> </w:t>
      </w:r>
      <w:r w:rsidRPr="00435C2F">
        <w:t>develop a Fish Operations Plan (FOP) that provides detailed information on the fish operations, including the fish passage spill program and its</w:t>
      </w:r>
      <w:r w:rsidR="00D74D44" w:rsidRPr="00435C2F">
        <w:t xml:space="preserve"> </w:t>
      </w:r>
      <w:r w:rsidRPr="00435C2F">
        <w:t xml:space="preserve">implementation, informed by adaptive management and the regional forum process.  </w:t>
      </w:r>
      <w:r w:rsidR="00DA035F" w:rsidRPr="00435C2F">
        <w:t>The FOP identifies target spill for spring</w:t>
      </w:r>
      <w:r w:rsidR="006A566B">
        <w:t xml:space="preserve"> and summer</w:t>
      </w:r>
      <w:r w:rsidR="00DA035F" w:rsidRPr="00435C2F">
        <w:t xml:space="preserve"> spill operations and is included as Appendix E </w:t>
      </w:r>
      <w:r w:rsidR="00514210" w:rsidRPr="00435C2F">
        <w:t>of the annual Fish Passage Plan</w:t>
      </w:r>
      <w:r w:rsidR="00D266D2">
        <w:t xml:space="preserve"> (FPP)</w:t>
      </w:r>
      <w:r w:rsidR="00DA035F" w:rsidRPr="00435C2F">
        <w:t>.</w:t>
      </w:r>
      <w:r w:rsidR="00514210" w:rsidRPr="00435C2F">
        <w:rPr>
          <w:rStyle w:val="FootnoteReference"/>
        </w:rPr>
        <w:footnoteReference w:id="2"/>
      </w:r>
      <w:r w:rsidR="001855B0">
        <w:t xml:space="preserve">  The Action Agencies have also developed a Water Quality Plan for TDG and Temperature in the Mainstem Columbia and Snake Rivers (2014, update in progress) which documents implementation of the Endangered Species Act</w:t>
      </w:r>
      <w:r w:rsidR="005726E7">
        <w:t xml:space="preserve"> (ESA)</w:t>
      </w:r>
      <w:r w:rsidR="001855B0">
        <w:t xml:space="preserve"> and Clean Water Act </w:t>
      </w:r>
      <w:r w:rsidR="005726E7">
        <w:t xml:space="preserve">(CWA) </w:t>
      </w:r>
      <w:r w:rsidR="001855B0">
        <w:t>and TDG monitoring.</w:t>
      </w:r>
      <w:r w:rsidR="00CF505D">
        <w:t xml:space="preserve">  </w:t>
      </w:r>
      <w:r w:rsidR="001855B0" w:rsidRPr="00910578">
        <w:t xml:space="preserve">The Corps will manage spill for fish passage </w:t>
      </w:r>
      <w:r w:rsidR="001855B0">
        <w:t>consistent with the State of Washington and the State of Oregon TDG water quality standards (WQS).</w:t>
      </w:r>
      <w:r w:rsidR="001855B0" w:rsidRPr="007A4E3B">
        <w:rPr>
          <w:rStyle w:val="FootnoteReference"/>
        </w:rPr>
        <w:footnoteReference w:id="3"/>
      </w:r>
      <w:r w:rsidR="001855B0" w:rsidRPr="007A4E3B">
        <w:rPr>
          <w:vertAlign w:val="superscript"/>
        </w:rPr>
        <w:t>,</w:t>
      </w:r>
      <w:r w:rsidR="001855B0">
        <w:rPr>
          <w:rStyle w:val="FootnoteReference"/>
        </w:rPr>
        <w:footnoteReference w:id="4"/>
      </w:r>
      <w:r w:rsidR="001855B0">
        <w:t xml:space="preserve">  </w:t>
      </w:r>
      <w:r w:rsidR="003F3CB6">
        <w:t xml:space="preserve">The current TDG standards are reiterated in the FOP.  </w:t>
      </w:r>
      <w:r w:rsidR="00A5385E">
        <w:t>To</w:t>
      </w:r>
      <w:r w:rsidR="003F3CB6">
        <w:t xml:space="preserve"> implement the planned spill for juvenile fish passage, both </w:t>
      </w:r>
      <w:r w:rsidR="00A5385E">
        <w:t xml:space="preserve">states </w:t>
      </w:r>
      <w:r w:rsidR="003F3CB6">
        <w:t>have provided allowances for a less stringent TDG criteria but require biological monitoring (i.e.</w:t>
      </w:r>
      <w:r w:rsidR="0005477D">
        <w:t>,</w:t>
      </w:r>
      <w:r w:rsidR="003F3CB6">
        <w:t xml:space="preserve"> Gas Bubble Trauma</w:t>
      </w:r>
      <w:r w:rsidR="00A5385E">
        <w:t>, GBT</w:t>
      </w:r>
      <w:r w:rsidR="003F3CB6">
        <w:t>).  Th</w:t>
      </w:r>
      <w:r w:rsidR="00A5385E">
        <w:t xml:space="preserve">e GBT </w:t>
      </w:r>
      <w:r w:rsidR="003F3CB6">
        <w:t xml:space="preserve">monitoring program and </w:t>
      </w:r>
      <w:r w:rsidR="004931A4">
        <w:t>consequences to the</w:t>
      </w:r>
      <w:r w:rsidR="003F3CB6">
        <w:t xml:space="preserve"> TDG criteria </w:t>
      </w:r>
      <w:r w:rsidR="004931A4">
        <w:t>are</w:t>
      </w:r>
      <w:r w:rsidR="003F3CB6">
        <w:t xml:space="preserve"> discussed in the Biological Monitoring Plan</w:t>
      </w:r>
      <w:r w:rsidR="00C538D5">
        <w:t>.</w:t>
      </w:r>
    </w:p>
    <w:p w14:paraId="458E1B94" w14:textId="77777777" w:rsidR="009F52BD" w:rsidRPr="00435C2F" w:rsidRDefault="009F52BD" w:rsidP="005C423F">
      <w:pPr>
        <w:spacing w:after="0"/>
      </w:pPr>
    </w:p>
    <w:p w14:paraId="4C0FC2F9" w14:textId="62094BA4" w:rsidR="0036043C" w:rsidRPr="00435C2F" w:rsidRDefault="009F52BD" w:rsidP="0048652C">
      <w:pPr>
        <w:pStyle w:val="Heading1"/>
      </w:pPr>
      <w:bookmarkStart w:id="7" w:name="_Toc340664814"/>
      <w:bookmarkStart w:id="8" w:name="_Toc36479879"/>
      <w:bookmarkStart w:id="9" w:name="_Toc65067928"/>
      <w:bookmarkEnd w:id="7"/>
      <w:r w:rsidRPr="00435C2F">
        <w:t>Spill</w:t>
      </w:r>
      <w:bookmarkEnd w:id="8"/>
      <w:r w:rsidR="00C20187">
        <w:t xml:space="preserve"> and TDG production</w:t>
      </w:r>
      <w:bookmarkEnd w:id="9"/>
    </w:p>
    <w:p w14:paraId="13B79CCE" w14:textId="61F00126" w:rsidR="009F52BD" w:rsidRPr="00435C2F" w:rsidRDefault="009F52BD" w:rsidP="00232FBE">
      <w:pPr>
        <w:spacing w:after="0"/>
      </w:pPr>
      <w:r w:rsidRPr="00435C2F">
        <w:t xml:space="preserve">TDG management measures differ depending on whether spill at Corps and Reclamation dams is </w:t>
      </w:r>
      <w:r w:rsidR="00CF505D">
        <w:t>planned</w:t>
      </w:r>
      <w:r w:rsidRPr="00435C2F">
        <w:t>, i.e.</w:t>
      </w:r>
      <w:r w:rsidR="00E90BBE">
        <w:t>,</w:t>
      </w:r>
      <w:r w:rsidRPr="00435C2F">
        <w:t xml:space="preserve"> spill for the benefit of juvenile fish migration through the </w:t>
      </w:r>
      <w:r w:rsidR="00D0426A" w:rsidRPr="00435C2F">
        <w:t>Columbia River System</w:t>
      </w:r>
      <w:r w:rsidRPr="00435C2F">
        <w:t xml:space="preserve">; or </w:t>
      </w:r>
      <w:r w:rsidR="00CF505D">
        <w:t>forced</w:t>
      </w:r>
      <w:r w:rsidRPr="00435C2F">
        <w:t>, i.e.</w:t>
      </w:r>
      <w:r w:rsidR="00E90BBE">
        <w:t>,</w:t>
      </w:r>
      <w:r w:rsidRPr="00435C2F">
        <w:t xml:space="preserve"> spill that is dictated by conditions beyond the Corps’ control. </w:t>
      </w:r>
      <w:r w:rsidR="00E03344" w:rsidRPr="00435C2F">
        <w:t xml:space="preserve"> </w:t>
      </w:r>
      <w:r w:rsidRPr="00435C2F">
        <w:t>The following describe circumstances that result in various types of spill</w:t>
      </w:r>
      <w:r w:rsidR="00C20187">
        <w:t xml:space="preserve"> or other TDG producing </w:t>
      </w:r>
      <w:r w:rsidR="00D266D2">
        <w:t>operations.</w:t>
      </w:r>
    </w:p>
    <w:p w14:paraId="06075638" w14:textId="77777777" w:rsidR="009F52BD" w:rsidRPr="00435C2F" w:rsidRDefault="009F52BD" w:rsidP="00005DCA">
      <w:pPr>
        <w:spacing w:after="0"/>
      </w:pPr>
    </w:p>
    <w:p w14:paraId="62834B7A" w14:textId="6AA89E7A" w:rsidR="005A4227" w:rsidRPr="00435C2F" w:rsidRDefault="005A4227" w:rsidP="005A4227">
      <w:pPr>
        <w:spacing w:after="0"/>
      </w:pPr>
      <w:r w:rsidRPr="00435C2F">
        <w:rPr>
          <w:b/>
        </w:rPr>
        <w:t>Gas Cap –</w:t>
      </w:r>
      <w:r w:rsidRPr="00435C2F">
        <w:t xml:space="preserve">applicable State TDG WQS (in percent TDG). The TDG standard for the states of </w:t>
      </w:r>
      <w:r w:rsidR="00E90BBE">
        <w:t xml:space="preserve">Idaho, </w:t>
      </w:r>
      <w:r w:rsidRPr="00435C2F">
        <w:t>Washington</w:t>
      </w:r>
      <w:r w:rsidR="00E90BBE">
        <w:t>,</w:t>
      </w:r>
      <w:r w:rsidRPr="00435C2F">
        <w:t xml:space="preserve"> and Oregon is</w:t>
      </w:r>
      <w:r w:rsidR="003A7C7F" w:rsidRPr="00435C2F">
        <w:t xml:space="preserve"> </w:t>
      </w:r>
      <w:r w:rsidRPr="00435C2F">
        <w:t xml:space="preserve">110%. </w:t>
      </w:r>
      <w:r w:rsidR="003A7C7F" w:rsidRPr="00435C2F">
        <w:t xml:space="preserve"> </w:t>
      </w:r>
      <w:r w:rsidR="00E90BBE">
        <w:t>Oregon and Washington</w:t>
      </w:r>
      <w:r w:rsidRPr="00435C2F">
        <w:t xml:space="preserve"> have provided exceptions to the TDG standard for juvenile fish passage spill</w:t>
      </w:r>
      <w:r w:rsidR="003A7C7F" w:rsidRPr="00435C2F">
        <w:t xml:space="preserve"> </w:t>
      </w:r>
      <w:r w:rsidRPr="00435C2F">
        <w:t>operations on the lower S</w:t>
      </w:r>
      <w:r w:rsidR="003A7C7F" w:rsidRPr="00435C2F">
        <w:t>nake and lower Columbia Rivers.</w:t>
      </w:r>
      <w:r w:rsidRPr="00435C2F">
        <w:t xml:space="preserve"> </w:t>
      </w:r>
      <w:r w:rsidR="003A7C7F" w:rsidRPr="00435C2F">
        <w:t xml:space="preserve"> </w:t>
      </w:r>
      <w:r w:rsidR="002067E0" w:rsidRPr="00435C2F">
        <w:t>If e</w:t>
      </w:r>
      <w:r w:rsidRPr="00435C2F">
        <w:t xml:space="preserve">ach state </w:t>
      </w:r>
      <w:r w:rsidR="002067E0" w:rsidRPr="00435C2F">
        <w:t xml:space="preserve">uses </w:t>
      </w:r>
      <w:r w:rsidRPr="00435C2F">
        <w:t>different calculation</w:t>
      </w:r>
      <w:r w:rsidR="003A7C7F" w:rsidRPr="00435C2F">
        <w:t xml:space="preserve"> </w:t>
      </w:r>
      <w:r w:rsidRPr="00435C2F">
        <w:t xml:space="preserve">methodologies for </w:t>
      </w:r>
      <w:r w:rsidR="002067E0" w:rsidRPr="00435C2F">
        <w:t xml:space="preserve">their </w:t>
      </w:r>
      <w:r w:rsidRPr="00435C2F">
        <w:t>standards, the Corps applies the more stringent standard</w:t>
      </w:r>
      <w:r w:rsidR="003A7C7F" w:rsidRPr="00435C2F">
        <w:t xml:space="preserve"> </w:t>
      </w:r>
      <w:r w:rsidRPr="00435C2F">
        <w:t>when operating under all applicable state TDG standards.</w:t>
      </w:r>
    </w:p>
    <w:p w14:paraId="61F37CCE" w14:textId="77777777" w:rsidR="005A4227" w:rsidRPr="00435C2F" w:rsidRDefault="005A4227" w:rsidP="009F38A6">
      <w:pPr>
        <w:spacing w:after="0"/>
        <w:rPr>
          <w:b/>
        </w:rPr>
      </w:pPr>
    </w:p>
    <w:p w14:paraId="5507E3D8" w14:textId="38237D65" w:rsidR="00807656" w:rsidRPr="00435C2F" w:rsidRDefault="00806A8E" w:rsidP="00806A8E">
      <w:pPr>
        <w:spacing w:after="0"/>
      </w:pPr>
      <w:r w:rsidRPr="00435C2F">
        <w:rPr>
          <w:b/>
        </w:rPr>
        <w:lastRenderedPageBreak/>
        <w:t xml:space="preserve">Gas Cap Spill </w:t>
      </w:r>
      <w:r w:rsidRPr="00435C2F">
        <w:t>– spill to the maximum spill level that meets, but does not exceed, the TDG criteria allowed under state law</w:t>
      </w:r>
      <w:r w:rsidR="002067E0" w:rsidRPr="00435C2F">
        <w:t>.</w:t>
      </w:r>
      <w:r w:rsidRPr="00435C2F">
        <w:t xml:space="preserve"> </w:t>
      </w:r>
      <w:r w:rsidR="002067E0" w:rsidRPr="00435C2F">
        <w:t xml:space="preserve"> </w:t>
      </w:r>
    </w:p>
    <w:p w14:paraId="2ABCBCB9" w14:textId="77777777" w:rsidR="00807656" w:rsidRPr="00435C2F" w:rsidRDefault="00807656" w:rsidP="00806A8E">
      <w:pPr>
        <w:spacing w:after="0"/>
      </w:pPr>
    </w:p>
    <w:p w14:paraId="25A0C439" w14:textId="1CD3521A" w:rsidR="00E7581B" w:rsidRPr="00435C2F" w:rsidRDefault="00E7581B" w:rsidP="00806A8E">
      <w:pPr>
        <w:spacing w:after="0"/>
        <w:rPr>
          <w:b/>
        </w:rPr>
      </w:pPr>
      <w:r w:rsidRPr="00435C2F">
        <w:rPr>
          <w:b/>
        </w:rPr>
        <w:t>Performance Standard Spill –</w:t>
      </w:r>
      <w:r w:rsidR="00E90BBE">
        <w:rPr>
          <w:b/>
        </w:rPr>
        <w:t xml:space="preserve"> </w:t>
      </w:r>
      <w:r w:rsidRPr="00435C2F">
        <w:t xml:space="preserve">spill levels intended to meet NOAA’s performance </w:t>
      </w:r>
      <w:r w:rsidR="005D6846" w:rsidRPr="00435C2F">
        <w:t xml:space="preserve">standard </w:t>
      </w:r>
      <w:r w:rsidR="005D6846">
        <w:t>survival</w:t>
      </w:r>
      <w:r w:rsidR="00E90BBE">
        <w:t xml:space="preserve"> objectives</w:t>
      </w:r>
      <w:r w:rsidRPr="00435C2F">
        <w:t xml:space="preserve">, as described in the </w:t>
      </w:r>
      <w:r w:rsidR="00E90BBE">
        <w:t xml:space="preserve">2020 </w:t>
      </w:r>
      <w:r w:rsidRPr="00435C2F">
        <w:t>Biological Opinion.</w:t>
      </w:r>
    </w:p>
    <w:p w14:paraId="23948F55" w14:textId="77777777" w:rsidR="00E7581B" w:rsidRPr="00435C2F" w:rsidRDefault="00E7581B" w:rsidP="00806A8E">
      <w:pPr>
        <w:spacing w:after="0"/>
        <w:rPr>
          <w:b/>
        </w:rPr>
      </w:pPr>
    </w:p>
    <w:p w14:paraId="154B7471" w14:textId="08200D4B" w:rsidR="00807656" w:rsidRPr="00435C2F" w:rsidRDefault="00807656" w:rsidP="00806A8E">
      <w:pPr>
        <w:spacing w:after="0"/>
      </w:pPr>
      <w:r w:rsidRPr="00435C2F">
        <w:rPr>
          <w:b/>
        </w:rPr>
        <w:t xml:space="preserve">Spill Cap </w:t>
      </w:r>
      <w:r w:rsidRPr="00435C2F">
        <w:t>–spill level (flow through the spillway measured in kcfs) at each project that is estimated to maximize spill to a level that meets, but does not exceed, the gas cap in the tailrace and the next downstream forebay</w:t>
      </w:r>
      <w:r w:rsidR="00A5385E">
        <w:t xml:space="preserve"> (if applicable)</w:t>
      </w:r>
      <w:r w:rsidRPr="00435C2F">
        <w:t>.</w:t>
      </w:r>
    </w:p>
    <w:p w14:paraId="0ABECE3F" w14:textId="77777777" w:rsidR="00807656" w:rsidRPr="00435C2F" w:rsidRDefault="00807656" w:rsidP="00806A8E">
      <w:pPr>
        <w:spacing w:after="0"/>
        <w:rPr>
          <w:b/>
        </w:rPr>
      </w:pPr>
    </w:p>
    <w:p w14:paraId="54FB0D65" w14:textId="72F57D4F" w:rsidR="009F52BD" w:rsidRPr="00435C2F" w:rsidRDefault="005D6846" w:rsidP="00806A8E">
      <w:pPr>
        <w:spacing w:after="0"/>
      </w:pPr>
      <w:r>
        <w:rPr>
          <w:b/>
        </w:rPr>
        <w:t>Planned s</w:t>
      </w:r>
      <w:r w:rsidR="009F52BD" w:rsidRPr="00435C2F">
        <w:rPr>
          <w:b/>
        </w:rPr>
        <w:t>pill</w:t>
      </w:r>
      <w:r>
        <w:rPr>
          <w:b/>
        </w:rPr>
        <w:t xml:space="preserve"> for fish passage</w:t>
      </w:r>
      <w:r w:rsidR="00E03344" w:rsidRPr="00435C2F">
        <w:rPr>
          <w:b/>
        </w:rPr>
        <w:t xml:space="preserve"> </w:t>
      </w:r>
      <w:r w:rsidR="006F2E6E" w:rsidRPr="00435C2F">
        <w:rPr>
          <w:b/>
        </w:rPr>
        <w:t>(</w:t>
      </w:r>
      <w:r w:rsidR="00CF505D">
        <w:rPr>
          <w:b/>
        </w:rPr>
        <w:t>formerly</w:t>
      </w:r>
      <w:r w:rsidR="00CF505D" w:rsidRPr="00435C2F">
        <w:rPr>
          <w:b/>
        </w:rPr>
        <w:t xml:space="preserve"> </w:t>
      </w:r>
      <w:r w:rsidR="006F2E6E" w:rsidRPr="00435C2F">
        <w:rPr>
          <w:b/>
        </w:rPr>
        <w:t xml:space="preserve">Voluntary Spill) </w:t>
      </w:r>
      <w:r w:rsidR="002048B1" w:rsidRPr="00435C2F">
        <w:rPr>
          <w:b/>
        </w:rPr>
        <w:t xml:space="preserve">- </w:t>
      </w:r>
      <w:r w:rsidR="001A4ED1">
        <w:t>t</w:t>
      </w:r>
      <w:r w:rsidR="001A4ED1" w:rsidRPr="00435C2F">
        <w:t xml:space="preserve">he </w:t>
      </w:r>
      <w:r w:rsidR="002048B1" w:rsidRPr="00435C2F">
        <w:t xml:space="preserve">Corps provides spill for the benefit of juvenile fish passage at the four lower Snake River and four lower Columbia River dams in accordance with the operative biological opinions and in a manner that is consistent with the Clean Water Act.  </w:t>
      </w:r>
      <w:r w:rsidR="00013729" w:rsidRPr="00435C2F">
        <w:t xml:space="preserve"> </w:t>
      </w:r>
      <w:r w:rsidR="002048B1" w:rsidRPr="00435C2F">
        <w:t xml:space="preserve">   </w:t>
      </w:r>
    </w:p>
    <w:p w14:paraId="3E3DB29C" w14:textId="77777777" w:rsidR="009F52BD" w:rsidRPr="00435C2F" w:rsidRDefault="009F52BD" w:rsidP="009F38A6">
      <w:pPr>
        <w:spacing w:after="0"/>
      </w:pPr>
    </w:p>
    <w:p w14:paraId="5FF9D91F" w14:textId="317A14C4" w:rsidR="002048B1" w:rsidRPr="00435C2F" w:rsidRDefault="00CF505D" w:rsidP="003E0D6C">
      <w:pPr>
        <w:spacing w:after="0"/>
      </w:pPr>
      <w:r>
        <w:rPr>
          <w:b/>
        </w:rPr>
        <w:t>Forced</w:t>
      </w:r>
      <w:r w:rsidRPr="00435C2F">
        <w:rPr>
          <w:b/>
        </w:rPr>
        <w:t xml:space="preserve"> </w:t>
      </w:r>
      <w:r w:rsidR="009F52BD" w:rsidRPr="00435C2F">
        <w:rPr>
          <w:b/>
        </w:rPr>
        <w:t>Spill</w:t>
      </w:r>
      <w:r w:rsidR="00DD0334" w:rsidRPr="00435C2F">
        <w:rPr>
          <w:b/>
        </w:rPr>
        <w:t xml:space="preserve"> (</w:t>
      </w:r>
      <w:r w:rsidR="001A4ED1">
        <w:rPr>
          <w:b/>
        </w:rPr>
        <w:t>formerly</w:t>
      </w:r>
      <w:r>
        <w:rPr>
          <w:b/>
        </w:rPr>
        <w:t xml:space="preserve"> Involuntary</w:t>
      </w:r>
      <w:r w:rsidR="00DD0334" w:rsidRPr="00435C2F">
        <w:rPr>
          <w:b/>
        </w:rPr>
        <w:t xml:space="preserve"> Spill)</w:t>
      </w:r>
      <w:r w:rsidR="009F52BD" w:rsidRPr="00435C2F">
        <w:rPr>
          <w:b/>
        </w:rPr>
        <w:t xml:space="preserve"> </w:t>
      </w:r>
      <w:r w:rsidR="005D6846" w:rsidRPr="00435C2F">
        <w:t>- quantity</w:t>
      </w:r>
      <w:r w:rsidR="002048B1" w:rsidRPr="00435C2F">
        <w:t xml:space="preserve"> of water that exceeds the capacity of a dam to either temporarily store the water upstream of the dam or pass the water through its turbines.  In these circumstances, water must be released through the spillway.  </w:t>
      </w:r>
      <w:r w:rsidR="00EF57F4">
        <w:t>Forced</w:t>
      </w:r>
      <w:r w:rsidR="00EF57F4" w:rsidRPr="00435C2F">
        <w:t xml:space="preserve"> </w:t>
      </w:r>
      <w:r w:rsidR="002048B1" w:rsidRPr="00435C2F">
        <w:t xml:space="preserve">spill occurs due to either </w:t>
      </w:r>
      <w:r w:rsidR="002048B1" w:rsidRPr="00435C2F">
        <w:rPr>
          <w:b/>
        </w:rPr>
        <w:t>Lack of Load</w:t>
      </w:r>
      <w:r w:rsidR="002048B1" w:rsidRPr="00435C2F">
        <w:t xml:space="preserve"> </w:t>
      </w:r>
      <w:r w:rsidR="00013729" w:rsidRPr="00435C2F">
        <w:rPr>
          <w:b/>
        </w:rPr>
        <w:t xml:space="preserve">Spill </w:t>
      </w:r>
      <w:r w:rsidR="002048B1" w:rsidRPr="00435C2F">
        <w:t xml:space="preserve">or </w:t>
      </w:r>
      <w:r w:rsidR="00013729" w:rsidRPr="00435C2F">
        <w:rPr>
          <w:b/>
        </w:rPr>
        <w:t>Over Capacity Spill</w:t>
      </w:r>
      <w:r w:rsidR="002048B1" w:rsidRPr="00435C2F">
        <w:t>, but can also occur as a result of the management of reservoirs for flood risk</w:t>
      </w:r>
      <w:r w:rsidR="002048B1" w:rsidRPr="00435C2F">
        <w:rPr>
          <w:vertAlign w:val="superscript"/>
        </w:rPr>
        <w:footnoteReference w:id="5"/>
      </w:r>
      <w:r w:rsidR="002048B1" w:rsidRPr="00435C2F">
        <w:t>, scheduled or unscheduled turbine unit outages or transmission outages of various durations, passing debris, or any other operational and/or maintenance activities required to manage dam facilities for safety and authorized project uses.</w:t>
      </w:r>
    </w:p>
    <w:p w14:paraId="0F0B5AEC" w14:textId="77777777" w:rsidR="002048B1" w:rsidRPr="00435C2F" w:rsidRDefault="002048B1" w:rsidP="002048B1">
      <w:pPr>
        <w:spacing w:after="0"/>
      </w:pPr>
    </w:p>
    <w:p w14:paraId="41ABCF59" w14:textId="3C36B260" w:rsidR="002048B1" w:rsidRPr="00435C2F" w:rsidRDefault="002048B1" w:rsidP="00795963">
      <w:pPr>
        <w:widowControl w:val="0"/>
        <w:numPr>
          <w:ilvl w:val="0"/>
          <w:numId w:val="6"/>
        </w:numPr>
        <w:adjustRightInd w:val="0"/>
        <w:spacing w:after="0"/>
        <w:textAlignment w:val="baseline"/>
      </w:pPr>
      <w:r w:rsidRPr="00435C2F">
        <w:rPr>
          <w:b/>
        </w:rPr>
        <w:t>Lack of Load Spill:</w:t>
      </w:r>
      <w:r w:rsidRPr="00435C2F">
        <w:t xml:space="preserve">  </w:t>
      </w:r>
      <w:r w:rsidRPr="00435C2F">
        <w:rPr>
          <w:sz w:val="22"/>
        </w:rPr>
        <w:t xml:space="preserve">Occurs </w:t>
      </w:r>
      <w:r w:rsidRPr="00435C2F">
        <w:t>when the available market for hydropower is less than the power that could be produced by the current river flow with available turbine capacity</w:t>
      </w:r>
      <w:r w:rsidR="00CE742E">
        <w:t>, also known as lack of market spill</w:t>
      </w:r>
      <w:r w:rsidRPr="00435C2F">
        <w:t>.  When BPA cannot access sufficient market to sell hydropower and there is insufficient storage capability, the river flow must be released over the spillway or through other regulating outlets.  Lack</w:t>
      </w:r>
      <w:r w:rsidR="005F0948" w:rsidRPr="00435C2F">
        <w:t xml:space="preserve"> </w:t>
      </w:r>
      <w:r w:rsidRPr="00435C2F">
        <w:t>of</w:t>
      </w:r>
      <w:r w:rsidR="005F0948" w:rsidRPr="00435C2F">
        <w:t xml:space="preserve"> </w:t>
      </w:r>
      <w:r w:rsidRPr="00435C2F">
        <w:t xml:space="preserve">load spill generally occurs during times of high flows (e.g., in the spring when power demands are low both in California and the Pacific Northwest).  Releases from upstream storage dams during high load periods (generally morning and evening) can result in high flows at downstream dams during low load periods (e.g., middle of the night), causing lack of load spill.  Lack of load spill is managed on a system-wide basis to distribute TDG levels across the Federal projects using the </w:t>
      </w:r>
      <w:r w:rsidR="00197B5A" w:rsidRPr="00435C2F">
        <w:t>S</w:t>
      </w:r>
      <w:r w:rsidRPr="00435C2F">
        <w:t xml:space="preserve">pill </w:t>
      </w:r>
      <w:r w:rsidR="00197B5A" w:rsidRPr="00435C2F">
        <w:t>P</w:t>
      </w:r>
      <w:r w:rsidRPr="00435C2F">
        <w:t xml:space="preserve">riority </w:t>
      </w:r>
      <w:r w:rsidR="00197B5A" w:rsidRPr="00435C2F">
        <w:t>L</w:t>
      </w:r>
      <w:r w:rsidRPr="00435C2F">
        <w:t>ist.</w:t>
      </w:r>
      <w:r w:rsidR="00630F30" w:rsidRPr="00435C2F">
        <w:t xml:space="preserve">  The Spill Priority List is a lack of load TDG management plan that has been developed for </w:t>
      </w:r>
      <w:r w:rsidR="004A4FD7">
        <w:t>forced</w:t>
      </w:r>
      <w:r w:rsidR="004A4FD7" w:rsidRPr="00435C2F">
        <w:t xml:space="preserve"> </w:t>
      </w:r>
      <w:r w:rsidR="00630F30" w:rsidRPr="00435C2F">
        <w:t xml:space="preserve">spill that results in exceeding the TDG standard when lack of load conditions require spill.  The Corps works with the region to develop the </w:t>
      </w:r>
      <w:r w:rsidR="00197B5A" w:rsidRPr="00435C2F">
        <w:t>S</w:t>
      </w:r>
      <w:r w:rsidR="00630F30" w:rsidRPr="00435C2F">
        <w:t xml:space="preserve">pill </w:t>
      </w:r>
      <w:r w:rsidR="00197B5A" w:rsidRPr="00435C2F">
        <w:t>P</w:t>
      </w:r>
      <w:r w:rsidR="00630F30" w:rsidRPr="00435C2F">
        <w:t xml:space="preserve">riority </w:t>
      </w:r>
      <w:r w:rsidR="00197B5A" w:rsidRPr="00435C2F">
        <w:t>L</w:t>
      </w:r>
      <w:r w:rsidR="00630F30" w:rsidRPr="00435C2F">
        <w:t xml:space="preserve">ist that identifies the order in which projects spill in order to minimize TDG system wide.  </w:t>
      </w:r>
    </w:p>
    <w:p w14:paraId="773E6B56" w14:textId="77777777" w:rsidR="002048B1" w:rsidRPr="00435C2F" w:rsidRDefault="002048B1" w:rsidP="002048B1">
      <w:pPr>
        <w:widowControl w:val="0"/>
        <w:adjustRightInd w:val="0"/>
        <w:spacing w:after="0"/>
        <w:ind w:left="360"/>
        <w:textAlignment w:val="baseline"/>
      </w:pPr>
    </w:p>
    <w:p w14:paraId="30A8B290" w14:textId="77777777" w:rsidR="002048B1" w:rsidRPr="00435C2F" w:rsidRDefault="00013729" w:rsidP="00795963">
      <w:pPr>
        <w:widowControl w:val="0"/>
        <w:numPr>
          <w:ilvl w:val="0"/>
          <w:numId w:val="6"/>
        </w:numPr>
        <w:adjustRightInd w:val="0"/>
        <w:spacing w:after="0"/>
        <w:textAlignment w:val="baseline"/>
      </w:pPr>
      <w:r w:rsidRPr="00435C2F">
        <w:rPr>
          <w:b/>
        </w:rPr>
        <w:lastRenderedPageBreak/>
        <w:t>Over Capacity</w:t>
      </w:r>
      <w:r w:rsidR="002048B1" w:rsidRPr="00435C2F">
        <w:rPr>
          <w:b/>
        </w:rPr>
        <w:t xml:space="preserve"> Spill:</w:t>
      </w:r>
      <w:r w:rsidR="002048B1" w:rsidRPr="00435C2F">
        <w:t xml:space="preserve">  Occurs when flows exceed the hydraulic capacity of the available power generation facilities at a specific dam.  </w:t>
      </w:r>
      <w:r w:rsidRPr="00435C2F">
        <w:t>Over capacity</w:t>
      </w:r>
      <w:r w:rsidR="002048B1" w:rsidRPr="00435C2F">
        <w:t xml:space="preserve"> spill can be affected by high river flows, planned and unplanned unit outages, planned and unplanned transmission outages, and other transmission constraints.  Any of these conditions physically limit the potential for hydropower production.  </w:t>
      </w:r>
      <w:r w:rsidRPr="00435C2F">
        <w:t>Over capacity</w:t>
      </w:r>
      <w:r w:rsidR="002048B1" w:rsidRPr="00435C2F">
        <w:t xml:space="preserve"> spill will generally be the amount of project outflow in excess of the maximum amount that can be released through all available generators and other outlet structures (e.g., sluiceways and fish ladders).  In general, when this condition occurs, the affected project will be operating at maximum generation, but within the Fish Passage Plan turbine operating criteria capability to minimize the amount of spill. </w:t>
      </w:r>
    </w:p>
    <w:p w14:paraId="52D6FC94" w14:textId="77777777" w:rsidR="002048B1" w:rsidRPr="00435C2F" w:rsidRDefault="002048B1" w:rsidP="002048B1">
      <w:pPr>
        <w:widowControl w:val="0"/>
        <w:adjustRightInd w:val="0"/>
        <w:spacing w:after="0"/>
        <w:textAlignment w:val="baseline"/>
      </w:pPr>
    </w:p>
    <w:p w14:paraId="1CA4916F" w14:textId="77777777" w:rsidR="002048B1" w:rsidRPr="00435C2F" w:rsidRDefault="00013729" w:rsidP="002048B1">
      <w:pPr>
        <w:widowControl w:val="0"/>
        <w:adjustRightInd w:val="0"/>
        <w:spacing w:after="0"/>
        <w:ind w:left="720"/>
        <w:textAlignment w:val="baseline"/>
      </w:pPr>
      <w:r w:rsidRPr="00435C2F">
        <w:t>Over capacity</w:t>
      </w:r>
      <w:r w:rsidR="002048B1" w:rsidRPr="00435C2F">
        <w:t xml:space="preserve"> spill can also occur when turbines cannot be used because their capacity must be held in reserve to provide mandatory reserve power capacity (reserves) for contingencies and load balancing.  </w:t>
      </w:r>
      <w:r w:rsidR="002048B1" w:rsidRPr="00435C2F">
        <w:rPr>
          <w:b/>
        </w:rPr>
        <w:t>Reserves</w:t>
      </w:r>
      <w:r w:rsidR="002048B1" w:rsidRPr="00435C2F">
        <w:t xml:space="preserve"> (Reserve Power Capacity) are the amount of generation capacity above the amount currently in use that is immediately available to maintain system reliability.  At projects that must carry reserve power capacity, these projects can only be loaded to the maximum available generation minus the reserve capacity allocated to that project.  Spill for maintaining reserves primarily occurs at Grand Coulee, Chief Joseph, The Dalles, John Day, Bonneville, and occasionally McNary dams.</w:t>
      </w:r>
    </w:p>
    <w:p w14:paraId="706C16BA" w14:textId="77777777" w:rsidR="002048B1" w:rsidRPr="00435C2F" w:rsidRDefault="002048B1" w:rsidP="002048B1">
      <w:pPr>
        <w:autoSpaceDE w:val="0"/>
        <w:autoSpaceDN w:val="0"/>
        <w:adjustRightInd w:val="0"/>
        <w:spacing w:after="0"/>
        <w:rPr>
          <w:color w:val="000000"/>
        </w:rPr>
      </w:pPr>
    </w:p>
    <w:p w14:paraId="7DB0E1BE" w14:textId="52E2236E" w:rsidR="002048B1" w:rsidRPr="00435C2F" w:rsidRDefault="002048B1" w:rsidP="00795963">
      <w:pPr>
        <w:pStyle w:val="ListParagraph"/>
        <w:numPr>
          <w:ilvl w:val="0"/>
          <w:numId w:val="6"/>
        </w:numPr>
      </w:pPr>
      <w:r w:rsidRPr="00435C2F">
        <w:rPr>
          <w:b/>
        </w:rPr>
        <w:t xml:space="preserve">Miscellaneous </w:t>
      </w:r>
      <w:r w:rsidR="000A1660" w:rsidRPr="00435C2F">
        <w:rPr>
          <w:b/>
        </w:rPr>
        <w:t>flow</w:t>
      </w:r>
      <w:r w:rsidRPr="00435C2F">
        <w:rPr>
          <w:b/>
        </w:rPr>
        <w:t>:</w:t>
      </w:r>
      <w:r w:rsidRPr="00435C2F">
        <w:t xml:space="preserve">  Occurs when water is passed through various dam structures for other purposes.  These structures include the fish ladders, juvenile fish bypass, navigation locks, ice and trash sluiceways, Bonneville Powerhouse 2 corner collector, etc.  Miscellaneous spill occurs most hours during the year and especially during April through August when fish are migrating.</w:t>
      </w:r>
    </w:p>
    <w:p w14:paraId="05D11FC0" w14:textId="77777777" w:rsidR="002048B1" w:rsidRPr="00435C2F" w:rsidRDefault="002048B1" w:rsidP="00801BCD">
      <w:pPr>
        <w:pStyle w:val="ListParagraph"/>
        <w:rPr>
          <w:b/>
        </w:rPr>
      </w:pPr>
    </w:p>
    <w:p w14:paraId="556145D2" w14:textId="4C1E2396" w:rsidR="00981CF8" w:rsidRDefault="002048B1" w:rsidP="00981CF8">
      <w:pPr>
        <w:pStyle w:val="ListParagraph"/>
        <w:numPr>
          <w:ilvl w:val="0"/>
          <w:numId w:val="6"/>
        </w:numPr>
      </w:pPr>
      <w:r w:rsidRPr="00435C2F">
        <w:rPr>
          <w:b/>
        </w:rPr>
        <w:t>Special Spill Events:</w:t>
      </w:r>
      <w:r w:rsidRPr="00435C2F">
        <w:t xml:space="preserve">  Occur for the purposes of passing debris or operational and/or maintenance activities required to manage dam facilities for safety and multiple uses.  These are infrequent and generally of short duration.</w:t>
      </w:r>
    </w:p>
    <w:p w14:paraId="653E06B2" w14:textId="1965CED1" w:rsidR="0088056E" w:rsidRDefault="00981CF8" w:rsidP="00981CF8">
      <w:r w:rsidRPr="0041340F">
        <w:rPr>
          <w:b/>
          <w:bCs/>
        </w:rPr>
        <w:t>Speed-no-load</w:t>
      </w:r>
      <w:r>
        <w:t xml:space="preserve">: </w:t>
      </w:r>
      <w:r w:rsidR="0088056E">
        <w:t xml:space="preserve">A turbine operation </w:t>
      </w:r>
      <w:r w:rsidR="001316D5">
        <w:t>that</w:t>
      </w:r>
      <w:r w:rsidR="0088056E">
        <w:t xml:space="preserve"> provides station service only and commonly occurs during </w:t>
      </w:r>
      <w:r w:rsidR="001316D5">
        <w:t xml:space="preserve">powerhouse outages for maintenance (e.g., </w:t>
      </w:r>
      <w:r>
        <w:t>Doble testing</w:t>
      </w:r>
      <w:r w:rsidR="001316D5">
        <w:t>)</w:t>
      </w:r>
      <w:r>
        <w:t xml:space="preserve">.  </w:t>
      </w:r>
      <w:r w:rsidR="0088056E">
        <w:t xml:space="preserve">At the Snake River projects, 5 kcfs </w:t>
      </w:r>
      <w:r w:rsidR="001316D5">
        <w:t xml:space="preserve">through one turbine </w:t>
      </w:r>
      <w:r w:rsidR="0088056E">
        <w:t xml:space="preserve">is a typical speed-no-load flow rate. </w:t>
      </w:r>
      <w:r w:rsidR="001316D5">
        <w:t>The remaining inflow may be stored in the reservoir or passed via the spillway.</w:t>
      </w:r>
      <w:r w:rsidR="0088056E">
        <w:t xml:space="preserve"> TDG production up to 140% saturation was observed during a speed-no-load operation with no spill downstream of Lower Granite in September 2013.</w:t>
      </w:r>
    </w:p>
    <w:p w14:paraId="25D026D0" w14:textId="6484B836" w:rsidR="00981CF8" w:rsidRDefault="0088056E" w:rsidP="00981CF8">
      <w:r w:rsidRPr="0041340F">
        <w:rPr>
          <w:b/>
          <w:bCs/>
        </w:rPr>
        <w:t xml:space="preserve">Bonneville </w:t>
      </w:r>
      <w:r w:rsidR="001316D5">
        <w:rPr>
          <w:b/>
          <w:bCs/>
        </w:rPr>
        <w:t xml:space="preserve">Dam </w:t>
      </w:r>
      <w:r w:rsidRPr="0041340F">
        <w:rPr>
          <w:b/>
          <w:bCs/>
        </w:rPr>
        <w:t>Corner Collector</w:t>
      </w:r>
      <w:r>
        <w:t xml:space="preserve">:  Powerhouse 2 provides a surface passage route for </w:t>
      </w:r>
      <w:r w:rsidR="004B7CE4">
        <w:t xml:space="preserve">fish, </w:t>
      </w:r>
      <w:r>
        <w:t>installed in 2004.  The flow ranges between 4 and 6 k</w:t>
      </w:r>
      <w:r w:rsidR="00764A90">
        <w:t>c</w:t>
      </w:r>
      <w:r>
        <w:t xml:space="preserve">fs depending on forebay elevation and starts operation in March </w:t>
      </w:r>
      <w:r w:rsidR="004B7CE4">
        <w:t xml:space="preserve">if </w:t>
      </w:r>
      <w:proofErr w:type="spellStart"/>
      <w:r w:rsidR="004B7CE4">
        <w:t>kelt</w:t>
      </w:r>
      <w:proofErr w:type="spellEnd"/>
      <w:r w:rsidR="004B7CE4">
        <w:t xml:space="preserve"> abundance criteria are met </w:t>
      </w:r>
      <w:r>
        <w:t>(see FPP)</w:t>
      </w:r>
      <w:r w:rsidR="004B7CE4">
        <w:t>, by no later than April 10,</w:t>
      </w:r>
      <w:r>
        <w:t xml:space="preserve"> and ends operation on August 31.</w:t>
      </w:r>
      <w:r w:rsidR="0005730F">
        <w:t xml:space="preserve">  Based on monitoring and modeling, the outflow of the corner collector likely produces TDG in excess of 130% saturation and causes an observable increase at the Warrendale gauge. </w:t>
      </w:r>
    </w:p>
    <w:p w14:paraId="3B86C361" w14:textId="10BAA78F" w:rsidR="0005730F" w:rsidRPr="00435C2F" w:rsidRDefault="00E20A7B" w:rsidP="00981CF8">
      <w:r>
        <w:rPr>
          <w:b/>
          <w:bCs/>
        </w:rPr>
        <w:t xml:space="preserve">Bonneville Dam </w:t>
      </w:r>
      <w:r w:rsidR="0005730F" w:rsidRPr="0041340F">
        <w:rPr>
          <w:b/>
          <w:bCs/>
        </w:rPr>
        <w:t>Fish ladders</w:t>
      </w:r>
      <w:r w:rsidR="0005730F">
        <w:t>:  The Cascade</w:t>
      </w:r>
      <w:r w:rsidR="001316D5">
        <w:t>s</w:t>
      </w:r>
      <w:r w:rsidR="0005730F">
        <w:t xml:space="preserve"> Island gauge </w:t>
      </w:r>
      <w:r>
        <w:t xml:space="preserve">downstream of Bonneville Dam </w:t>
      </w:r>
      <w:r w:rsidR="0005730F">
        <w:t xml:space="preserve">is not influenced by powerhouse TDG and primarily indicates TDG production of the Bonneville </w:t>
      </w:r>
      <w:r w:rsidR="0005730F">
        <w:lastRenderedPageBreak/>
        <w:t xml:space="preserve">Dam spillway.  However, when there is no spill, TDG measurements can increase above </w:t>
      </w:r>
      <w:r w:rsidR="00D266D2">
        <w:t>the WQS</w:t>
      </w:r>
      <w:r w:rsidR="0005730F">
        <w:t>.  It appears this TDG is generated by fish ladders but the overall influence on fully mixed TDG</w:t>
      </w:r>
      <w:r w:rsidR="004A4FD7">
        <w:t xml:space="preserve"> at the downstream Warrendale</w:t>
      </w:r>
      <w:r w:rsidR="0005730F">
        <w:t xml:space="preserve"> </w:t>
      </w:r>
      <w:r w:rsidR="00764A90">
        <w:t xml:space="preserve">gauge </w:t>
      </w:r>
      <w:r w:rsidR="0005730F">
        <w:t xml:space="preserve">is minimal.  </w:t>
      </w:r>
    </w:p>
    <w:p w14:paraId="3B481200" w14:textId="30E4D1DB" w:rsidR="00981CF8" w:rsidRDefault="0048652C" w:rsidP="00134A03">
      <w:pPr>
        <w:pStyle w:val="Heading1"/>
      </w:pPr>
      <w:bookmarkStart w:id="10" w:name="_Toc65067929"/>
      <w:r>
        <w:t>TDG Management During Planned Fish Passage Spill</w:t>
      </w:r>
      <w:bookmarkEnd w:id="10"/>
    </w:p>
    <w:p w14:paraId="55538178" w14:textId="1D16CA39" w:rsidR="00A96DDE" w:rsidRDefault="00A96DDE" w:rsidP="00A96DDE">
      <w:r>
        <w:t xml:space="preserve">The FOP is the planning document for juvenile fish passage spill, generally April 3 through August 31 at the four lower Snake River and four lower Columbia River dams. Spill will be reduced or otherwise managed if TDG exceeds the water quality criteria (see Section </w:t>
      </w:r>
      <w:r>
        <w:fldChar w:fldCharType="begin"/>
      </w:r>
      <w:r>
        <w:instrText xml:space="preserve"> REF _Ref64979381 \r \h </w:instrText>
      </w:r>
      <w:r>
        <w:fldChar w:fldCharType="separate"/>
      </w:r>
      <w:r>
        <w:t>7.0</w:t>
      </w:r>
      <w:r>
        <w:fldChar w:fldCharType="end"/>
      </w:r>
      <w:r>
        <w:t xml:space="preserve"> </w:t>
      </w:r>
      <w:r>
        <w:fldChar w:fldCharType="begin"/>
      </w:r>
      <w:r>
        <w:instrText xml:space="preserve"> REF _Ref64979401 \h </w:instrText>
      </w:r>
      <w:r>
        <w:fldChar w:fldCharType="separate"/>
      </w:r>
      <w:r w:rsidRPr="00435C2F">
        <w:t>Procedure for Setting Spill Caps</w:t>
      </w:r>
      <w:r>
        <w:fldChar w:fldCharType="end"/>
      </w:r>
      <w:r>
        <w:t xml:space="preserve">).  If </w:t>
      </w:r>
      <w:r w:rsidR="00764A90">
        <w:t>GBT</w:t>
      </w:r>
      <w:r>
        <w:t xml:space="preserve"> thresholds are exceed, the water quality criteria </w:t>
      </w:r>
      <w:proofErr w:type="gramStart"/>
      <w:r>
        <w:t>is</w:t>
      </w:r>
      <w:proofErr w:type="gramEnd"/>
      <w:r>
        <w:t xml:space="preserve"> reduced (see Section </w:t>
      </w:r>
      <w:r>
        <w:fldChar w:fldCharType="begin"/>
      </w:r>
      <w:r>
        <w:instrText xml:space="preserve"> REF _Ref64979736 \r \h </w:instrText>
      </w:r>
      <w:r>
        <w:fldChar w:fldCharType="separate"/>
      </w:r>
      <w:r>
        <w:t>8.0</w:t>
      </w:r>
      <w:r>
        <w:fldChar w:fldCharType="end"/>
      </w:r>
      <w:r>
        <w:t xml:space="preserve"> </w:t>
      </w:r>
      <w:r>
        <w:fldChar w:fldCharType="begin"/>
      </w:r>
      <w:r>
        <w:instrText xml:space="preserve"> REF _Ref64979739 \h </w:instrText>
      </w:r>
      <w:r>
        <w:fldChar w:fldCharType="separate"/>
      </w:r>
      <w:r w:rsidRPr="0072179E">
        <w:t>Gas Bubble Trauma Monitoring</w:t>
      </w:r>
      <w:r>
        <w:fldChar w:fldCharType="end"/>
      </w:r>
      <w:r>
        <w:t xml:space="preserve">).  </w:t>
      </w:r>
    </w:p>
    <w:p w14:paraId="5CBBE0B7" w14:textId="36A6830B" w:rsidR="003979FE" w:rsidRPr="00DE2744" w:rsidRDefault="001B62D8" w:rsidP="003979FE">
      <w:r>
        <w:t xml:space="preserve">From September 1 to November 15 and March 1 to the start of the spring fish passage spill season, the Corps will provide </w:t>
      </w:r>
      <w:proofErr w:type="gramStart"/>
      <w:r>
        <w:t>surface oriented</w:t>
      </w:r>
      <w:proofErr w:type="gramEnd"/>
      <w:r>
        <w:t xml:space="preserve"> spill at least three times each week on non-consecutive days for 4 hours each morning (generally between 0500 and 1100) through a spillway weir at each of the following five dams: Lower Granite, Little Goose, Lower Monumental, Ice Harbor, and McNary. </w:t>
      </w:r>
      <w:r w:rsidR="0009351E">
        <w:t xml:space="preserve"> The applicable TDG criteria is not to exceed 110% because the </w:t>
      </w:r>
      <w:proofErr w:type="spellStart"/>
      <w:r w:rsidR="00067AC9">
        <w:t>WQS</w:t>
      </w:r>
      <w:proofErr w:type="spellEnd"/>
      <w:r w:rsidR="00067AC9">
        <w:t xml:space="preserve"> </w:t>
      </w:r>
      <w:r w:rsidR="0009351E">
        <w:t>adjustments are specific to spring juvenile passage.  Since the spill is through a weir, there is not the ability to control the spill rate</w:t>
      </w:r>
      <w:r w:rsidR="00A85754">
        <w:t xml:space="preserve"> by changing a gate opening</w:t>
      </w:r>
      <w:r w:rsidR="0009351E">
        <w:t xml:space="preserve">, like during the spring.  If the spill causes exceedances of 110% TDG, </w:t>
      </w:r>
      <w:r w:rsidR="000B02DA">
        <w:t xml:space="preserve">RCC will evaluate available data and coordinate operational changes with NOAA.  </w:t>
      </w:r>
      <w:r w:rsidR="0009351E">
        <w:t xml:space="preserve">  </w:t>
      </w:r>
    </w:p>
    <w:p w14:paraId="5D94E6A8" w14:textId="1EC00CDD" w:rsidR="0048652C" w:rsidRDefault="0048652C" w:rsidP="00DB7CB5">
      <w:pPr>
        <w:pStyle w:val="Heading1"/>
      </w:pPr>
      <w:bookmarkStart w:id="11" w:name="_Toc65067930"/>
      <w:bookmarkStart w:id="12" w:name="_Toc242232476"/>
      <w:bookmarkStart w:id="13" w:name="_Toc36479880"/>
      <w:r>
        <w:t>TDG Management During Forced Lack of Load Spill</w:t>
      </w:r>
      <w:bookmarkEnd w:id="11"/>
    </w:p>
    <w:p w14:paraId="38E5BB16" w14:textId="436D925E" w:rsidR="0036043C" w:rsidRPr="00134A03" w:rsidRDefault="009F52BD" w:rsidP="0041340F">
      <w:pPr>
        <w:pStyle w:val="Heading2"/>
        <w:numPr>
          <w:ilvl w:val="1"/>
          <w:numId w:val="1"/>
        </w:numPr>
      </w:pPr>
      <w:bookmarkStart w:id="14" w:name="_Toc65067931"/>
      <w:r w:rsidRPr="004A4FD7">
        <w:t>Spill Priority List</w:t>
      </w:r>
      <w:bookmarkEnd w:id="12"/>
      <w:bookmarkEnd w:id="13"/>
      <w:bookmarkEnd w:id="14"/>
    </w:p>
    <w:p w14:paraId="604707CB" w14:textId="4FEEE550" w:rsidR="007B255D" w:rsidRPr="00435C2F" w:rsidRDefault="006C3836" w:rsidP="009B05B3">
      <w:pPr>
        <w:autoSpaceDE w:val="0"/>
        <w:autoSpaceDN w:val="0"/>
        <w:adjustRightInd w:val="0"/>
        <w:spacing w:after="0"/>
      </w:pPr>
      <w:r w:rsidRPr="00435C2F">
        <w:t>The Spill Priority List i</w:t>
      </w:r>
      <w:r w:rsidR="00A23ED6" w:rsidRPr="00435C2F">
        <w:t xml:space="preserve">dentifies the order and amount of spill at the Corps’ Columbia River Basin dams and Grand Coulee Dam for management of lack of load spill and the expected TDG production </w:t>
      </w:r>
      <w:proofErr w:type="gramStart"/>
      <w:r w:rsidR="00A23ED6" w:rsidRPr="00435C2F">
        <w:t>system-wide</w:t>
      </w:r>
      <w:proofErr w:type="gramEnd"/>
      <w:r w:rsidR="00A23ED6" w:rsidRPr="00435C2F">
        <w:t>.  The Spill Priority List is used throughout the year</w:t>
      </w:r>
      <w:r w:rsidR="00FE39D3" w:rsidRPr="00435C2F">
        <w:t xml:space="preserve"> during times of </w:t>
      </w:r>
      <w:r w:rsidR="004A4FD7">
        <w:t>forced</w:t>
      </w:r>
      <w:r w:rsidR="004A4FD7" w:rsidRPr="00435C2F">
        <w:t xml:space="preserve"> </w:t>
      </w:r>
      <w:r w:rsidR="00FE39D3" w:rsidRPr="00435C2F">
        <w:t>spill</w:t>
      </w:r>
      <w:r w:rsidR="00A23ED6" w:rsidRPr="00435C2F">
        <w:t>.</w:t>
      </w:r>
      <w:r w:rsidR="00FE39D3" w:rsidRPr="00435C2F">
        <w:t xml:space="preserve">  The Spill Priority List consists of levels based on ascending TDG values, a spill rate for each project that is estimated to produce the TDG values and an order of projects.</w:t>
      </w:r>
    </w:p>
    <w:p w14:paraId="2002D78E" w14:textId="77777777" w:rsidR="00A23ED6" w:rsidRPr="00435C2F" w:rsidRDefault="00A23ED6" w:rsidP="009B05B3">
      <w:pPr>
        <w:autoSpaceDE w:val="0"/>
        <w:autoSpaceDN w:val="0"/>
        <w:adjustRightInd w:val="0"/>
        <w:spacing w:after="0"/>
      </w:pPr>
    </w:p>
    <w:p w14:paraId="28143023" w14:textId="77777777" w:rsidR="009F52BD" w:rsidRPr="00435C2F" w:rsidRDefault="009F52BD" w:rsidP="004511B3">
      <w:pPr>
        <w:pStyle w:val="Heading2"/>
        <w:numPr>
          <w:ilvl w:val="1"/>
          <w:numId w:val="2"/>
        </w:numPr>
        <w:spacing w:before="0"/>
      </w:pPr>
      <w:bookmarkStart w:id="15" w:name="_Toc36479881"/>
      <w:bookmarkStart w:id="16" w:name="_Toc65067932"/>
      <w:bookmarkStart w:id="17" w:name="_Ref65506786"/>
      <w:bookmarkStart w:id="18" w:name="_Ref66460439"/>
      <w:r w:rsidRPr="00435C2F">
        <w:t>Spill Levels</w:t>
      </w:r>
      <w:bookmarkEnd w:id="15"/>
      <w:bookmarkEnd w:id="16"/>
      <w:bookmarkEnd w:id="17"/>
      <w:bookmarkEnd w:id="18"/>
    </w:p>
    <w:p w14:paraId="2987887B" w14:textId="77777777" w:rsidR="009F52BD" w:rsidRPr="00435C2F" w:rsidRDefault="009F52BD" w:rsidP="008A254F">
      <w:pPr>
        <w:spacing w:after="0"/>
      </w:pPr>
    </w:p>
    <w:p w14:paraId="1B71DEFC" w14:textId="5629A91B" w:rsidR="00E34932" w:rsidRPr="00435C2F" w:rsidRDefault="009F52BD" w:rsidP="008A254F">
      <w:pPr>
        <w:autoSpaceDE w:val="0"/>
        <w:autoSpaceDN w:val="0"/>
        <w:adjustRightInd w:val="0"/>
        <w:spacing w:after="0"/>
      </w:pPr>
      <w:r w:rsidRPr="00435C2F">
        <w:t xml:space="preserve">Values on the </w:t>
      </w:r>
      <w:r w:rsidR="00E82F1A" w:rsidRPr="00435C2F">
        <w:t>S</w:t>
      </w:r>
      <w:r w:rsidRPr="00435C2F">
        <w:t xml:space="preserve">pill </w:t>
      </w:r>
      <w:r w:rsidR="00E82F1A" w:rsidRPr="00435C2F">
        <w:t>P</w:t>
      </w:r>
      <w:r w:rsidRPr="00435C2F">
        <w:t xml:space="preserve">riority </w:t>
      </w:r>
      <w:r w:rsidR="00E82F1A" w:rsidRPr="00435C2F">
        <w:t>L</w:t>
      </w:r>
      <w:r w:rsidRPr="00435C2F">
        <w:t>ist serve as a reference for expected TDG production at the dams</w:t>
      </w:r>
      <w:r w:rsidR="00C3359C" w:rsidRPr="00435C2F">
        <w:t>.  During the period of no fish passage, the levels of the Spill Priority list are shown</w:t>
      </w:r>
      <w:r w:rsidR="00E34932" w:rsidRPr="00435C2F">
        <w:t xml:space="preserve"> in </w:t>
      </w:r>
      <w:r w:rsidR="00E34932" w:rsidRPr="00F81F70">
        <w:fldChar w:fldCharType="begin"/>
      </w:r>
      <w:r w:rsidR="00E34932" w:rsidRPr="00435C2F">
        <w:instrText xml:space="preserve"> REF _Ref36480147 \h </w:instrText>
      </w:r>
      <w:r w:rsidR="00435C2F">
        <w:instrText xml:space="preserve"> \* MERGEFORMAT </w:instrText>
      </w:r>
      <w:r w:rsidR="00E34932" w:rsidRPr="00F81F70">
        <w:fldChar w:fldCharType="separate"/>
      </w:r>
      <w:r w:rsidR="00500A0F" w:rsidRPr="00435C2F">
        <w:t xml:space="preserve">Table </w:t>
      </w:r>
      <w:r w:rsidR="00500A0F" w:rsidRPr="00435C2F">
        <w:rPr>
          <w:noProof/>
        </w:rPr>
        <w:t>1</w:t>
      </w:r>
      <w:r w:rsidR="00E34932" w:rsidRPr="00F81F70">
        <w:fldChar w:fldCharType="end"/>
      </w:r>
      <w:r w:rsidR="00E34932" w:rsidRPr="00435C2F">
        <w:t>.</w:t>
      </w:r>
      <w:r w:rsidR="00C3359C" w:rsidRPr="00435C2F">
        <w:t xml:space="preserve">   </w:t>
      </w:r>
      <w:r w:rsidRPr="00435C2F">
        <w:t xml:space="preserve">  </w:t>
      </w:r>
    </w:p>
    <w:p w14:paraId="30855586" w14:textId="33D91EAC" w:rsidR="00E34932" w:rsidRPr="00435C2F" w:rsidRDefault="00E34932" w:rsidP="00F81F70">
      <w:pPr>
        <w:autoSpaceDE w:val="0"/>
        <w:autoSpaceDN w:val="0"/>
        <w:adjustRightInd w:val="0"/>
        <w:spacing w:after="0"/>
      </w:pPr>
    </w:p>
    <w:p w14:paraId="02EBA231" w14:textId="5ADD5F98" w:rsidR="00E34932" w:rsidRPr="00F81F70" w:rsidRDefault="00E34932" w:rsidP="00F81F70">
      <w:pPr>
        <w:pStyle w:val="Caption"/>
      </w:pPr>
      <w:bookmarkStart w:id="19" w:name="_Ref36480147"/>
      <w:r w:rsidRPr="00F81F70">
        <w:t xml:space="preserve">Table </w:t>
      </w:r>
      <w:r w:rsidR="005F18D7">
        <w:rPr>
          <w:noProof/>
        </w:rPr>
        <w:fldChar w:fldCharType="begin"/>
      </w:r>
      <w:r w:rsidR="005F18D7">
        <w:rPr>
          <w:noProof/>
        </w:rPr>
        <w:instrText xml:space="preserve"> SEQ Table \* ARABIC </w:instrText>
      </w:r>
      <w:r w:rsidR="005F18D7">
        <w:rPr>
          <w:noProof/>
        </w:rPr>
        <w:fldChar w:fldCharType="separate"/>
      </w:r>
      <w:r w:rsidR="00500A0F" w:rsidRPr="00F81F70">
        <w:rPr>
          <w:noProof/>
        </w:rPr>
        <w:t>1</w:t>
      </w:r>
      <w:r w:rsidR="005F18D7">
        <w:rPr>
          <w:noProof/>
        </w:rPr>
        <w:fldChar w:fldCharType="end"/>
      </w:r>
      <w:bookmarkEnd w:id="19"/>
      <w:r w:rsidRPr="00F81F70">
        <w:t>.  Spill priority list TDG levels in tailwaters during the period of no fish passage spill.</w:t>
      </w:r>
    </w:p>
    <w:tbl>
      <w:tblPr>
        <w:tblStyle w:val="TableGrid"/>
        <w:tblW w:w="7870" w:type="dxa"/>
        <w:tblBorders>
          <w:insideV w:val="none" w:sz="0" w:space="0" w:color="auto"/>
        </w:tblBorders>
        <w:tblLayout w:type="fixed"/>
        <w:tblLook w:val="04A0" w:firstRow="1" w:lastRow="0" w:firstColumn="1" w:lastColumn="0" w:noHBand="0" w:noVBand="1"/>
      </w:tblPr>
      <w:tblGrid>
        <w:gridCol w:w="1328"/>
        <w:gridCol w:w="1277"/>
        <w:gridCol w:w="990"/>
        <w:gridCol w:w="1076"/>
        <w:gridCol w:w="1075"/>
        <w:gridCol w:w="1062"/>
        <w:gridCol w:w="1062"/>
      </w:tblGrid>
      <w:tr w:rsidR="00134A03" w:rsidRPr="00435C2F" w14:paraId="43BC5E70" w14:textId="483CFA20" w:rsidTr="004B0D67">
        <w:trPr>
          <w:trHeight w:val="350"/>
        </w:trPr>
        <w:tc>
          <w:tcPr>
            <w:tcW w:w="1328" w:type="dxa"/>
            <w:shd w:val="clear" w:color="auto" w:fill="F2F2F2" w:themeFill="background1" w:themeFillShade="F2"/>
            <w:vAlign w:val="center"/>
          </w:tcPr>
          <w:p w14:paraId="51CCCBC9" w14:textId="77777777" w:rsidR="00134A03" w:rsidRPr="00435C2F" w:rsidRDefault="00134A03">
            <w:pPr>
              <w:autoSpaceDE w:val="0"/>
              <w:autoSpaceDN w:val="0"/>
              <w:adjustRightInd w:val="0"/>
              <w:spacing w:after="0"/>
              <w:rPr>
                <w:b/>
              </w:rPr>
            </w:pPr>
            <w:r w:rsidRPr="00435C2F">
              <w:rPr>
                <w:b/>
              </w:rPr>
              <w:t>Project</w:t>
            </w:r>
          </w:p>
        </w:tc>
        <w:tc>
          <w:tcPr>
            <w:tcW w:w="1277" w:type="dxa"/>
            <w:shd w:val="clear" w:color="auto" w:fill="F2F2F2" w:themeFill="background1" w:themeFillShade="F2"/>
            <w:vAlign w:val="center"/>
          </w:tcPr>
          <w:p w14:paraId="38B2BC0E" w14:textId="77777777" w:rsidR="00134A03" w:rsidRPr="00435C2F" w:rsidRDefault="00134A03">
            <w:pPr>
              <w:autoSpaceDE w:val="0"/>
              <w:autoSpaceDN w:val="0"/>
              <w:adjustRightInd w:val="0"/>
              <w:spacing w:after="0"/>
              <w:rPr>
                <w:b/>
              </w:rPr>
            </w:pPr>
            <w:r w:rsidRPr="00435C2F">
              <w:rPr>
                <w:b/>
              </w:rPr>
              <w:t>Level 1</w:t>
            </w:r>
          </w:p>
        </w:tc>
        <w:tc>
          <w:tcPr>
            <w:tcW w:w="990" w:type="dxa"/>
            <w:shd w:val="clear" w:color="auto" w:fill="F2F2F2" w:themeFill="background1" w:themeFillShade="F2"/>
            <w:vAlign w:val="center"/>
          </w:tcPr>
          <w:p w14:paraId="3BE53D5A" w14:textId="77777777" w:rsidR="00134A03" w:rsidRPr="00435C2F" w:rsidRDefault="00134A03">
            <w:pPr>
              <w:autoSpaceDE w:val="0"/>
              <w:autoSpaceDN w:val="0"/>
              <w:adjustRightInd w:val="0"/>
              <w:spacing w:after="0"/>
              <w:rPr>
                <w:b/>
              </w:rPr>
            </w:pPr>
            <w:r w:rsidRPr="00435C2F">
              <w:rPr>
                <w:b/>
              </w:rPr>
              <w:t>Level 2</w:t>
            </w:r>
          </w:p>
        </w:tc>
        <w:tc>
          <w:tcPr>
            <w:tcW w:w="1076" w:type="dxa"/>
            <w:shd w:val="clear" w:color="auto" w:fill="F2F2F2" w:themeFill="background1" w:themeFillShade="F2"/>
            <w:vAlign w:val="center"/>
          </w:tcPr>
          <w:p w14:paraId="646F7E7C" w14:textId="77777777" w:rsidR="00134A03" w:rsidRPr="00435C2F" w:rsidRDefault="00134A03">
            <w:pPr>
              <w:autoSpaceDE w:val="0"/>
              <w:autoSpaceDN w:val="0"/>
              <w:adjustRightInd w:val="0"/>
              <w:spacing w:after="0"/>
              <w:rPr>
                <w:b/>
              </w:rPr>
            </w:pPr>
            <w:r w:rsidRPr="00435C2F">
              <w:rPr>
                <w:b/>
              </w:rPr>
              <w:t>Level 3</w:t>
            </w:r>
          </w:p>
        </w:tc>
        <w:tc>
          <w:tcPr>
            <w:tcW w:w="1075" w:type="dxa"/>
            <w:shd w:val="clear" w:color="auto" w:fill="F2F2F2" w:themeFill="background1" w:themeFillShade="F2"/>
            <w:vAlign w:val="center"/>
          </w:tcPr>
          <w:p w14:paraId="24543E41" w14:textId="77777777" w:rsidR="00134A03" w:rsidRPr="00435C2F" w:rsidRDefault="00134A03">
            <w:pPr>
              <w:autoSpaceDE w:val="0"/>
              <w:autoSpaceDN w:val="0"/>
              <w:adjustRightInd w:val="0"/>
              <w:spacing w:after="0"/>
              <w:rPr>
                <w:b/>
              </w:rPr>
            </w:pPr>
            <w:r w:rsidRPr="00435C2F">
              <w:rPr>
                <w:b/>
              </w:rPr>
              <w:t>Level 4</w:t>
            </w:r>
          </w:p>
        </w:tc>
        <w:tc>
          <w:tcPr>
            <w:tcW w:w="1062" w:type="dxa"/>
            <w:shd w:val="clear" w:color="auto" w:fill="F2F2F2" w:themeFill="background1" w:themeFillShade="F2"/>
            <w:vAlign w:val="center"/>
          </w:tcPr>
          <w:p w14:paraId="4EE509F8" w14:textId="77777777" w:rsidR="00134A03" w:rsidRPr="00435C2F" w:rsidRDefault="00134A03">
            <w:pPr>
              <w:autoSpaceDE w:val="0"/>
              <w:autoSpaceDN w:val="0"/>
              <w:adjustRightInd w:val="0"/>
              <w:spacing w:after="0"/>
              <w:rPr>
                <w:b/>
              </w:rPr>
            </w:pPr>
            <w:r w:rsidRPr="00435C2F">
              <w:rPr>
                <w:b/>
              </w:rPr>
              <w:t>Level 5</w:t>
            </w:r>
          </w:p>
        </w:tc>
        <w:tc>
          <w:tcPr>
            <w:tcW w:w="1062" w:type="dxa"/>
            <w:shd w:val="clear" w:color="auto" w:fill="F2F2F2" w:themeFill="background1" w:themeFillShade="F2"/>
            <w:vAlign w:val="center"/>
          </w:tcPr>
          <w:p w14:paraId="5349A9D7" w14:textId="652687B3" w:rsidR="00134A03" w:rsidRPr="00435C2F" w:rsidRDefault="00134A03">
            <w:pPr>
              <w:autoSpaceDE w:val="0"/>
              <w:autoSpaceDN w:val="0"/>
              <w:adjustRightInd w:val="0"/>
              <w:spacing w:after="0"/>
              <w:rPr>
                <w:b/>
              </w:rPr>
            </w:pPr>
            <w:r w:rsidRPr="00435C2F">
              <w:rPr>
                <w:b/>
              </w:rPr>
              <w:t>Level 6</w:t>
            </w:r>
          </w:p>
        </w:tc>
      </w:tr>
      <w:tr w:rsidR="00134A03" w:rsidRPr="00435C2F" w14:paraId="67F6C6F1" w14:textId="4F333C07" w:rsidTr="004B0D67">
        <w:tc>
          <w:tcPr>
            <w:tcW w:w="1328" w:type="dxa"/>
          </w:tcPr>
          <w:p w14:paraId="2C7FC562" w14:textId="6BBC43E3" w:rsidR="00134A03" w:rsidRPr="00435C2F" w:rsidRDefault="00134A03" w:rsidP="00E34932">
            <w:pPr>
              <w:autoSpaceDE w:val="0"/>
              <w:autoSpaceDN w:val="0"/>
              <w:adjustRightInd w:val="0"/>
              <w:spacing w:after="0"/>
              <w:rPr>
                <w:sz w:val="22"/>
              </w:rPr>
            </w:pPr>
            <w:r w:rsidRPr="00435C2F">
              <w:rPr>
                <w:sz w:val="22"/>
              </w:rPr>
              <w:t>All Projects</w:t>
            </w:r>
          </w:p>
        </w:tc>
        <w:tc>
          <w:tcPr>
            <w:tcW w:w="1277" w:type="dxa"/>
          </w:tcPr>
          <w:p w14:paraId="3CC3FA26" w14:textId="40C6CEEB" w:rsidR="00134A03" w:rsidRPr="00435C2F" w:rsidRDefault="00134A03" w:rsidP="00E34932">
            <w:pPr>
              <w:autoSpaceDE w:val="0"/>
              <w:autoSpaceDN w:val="0"/>
              <w:adjustRightInd w:val="0"/>
              <w:spacing w:after="0"/>
              <w:rPr>
                <w:sz w:val="22"/>
              </w:rPr>
            </w:pPr>
            <w:r w:rsidRPr="00435C2F">
              <w:rPr>
                <w:sz w:val="22"/>
              </w:rPr>
              <w:t>110%</w:t>
            </w:r>
          </w:p>
        </w:tc>
        <w:tc>
          <w:tcPr>
            <w:tcW w:w="990" w:type="dxa"/>
          </w:tcPr>
          <w:p w14:paraId="45604A76" w14:textId="28B34430" w:rsidR="00134A03" w:rsidRPr="00435C2F" w:rsidRDefault="00134A03" w:rsidP="00E34932">
            <w:pPr>
              <w:autoSpaceDE w:val="0"/>
              <w:autoSpaceDN w:val="0"/>
              <w:adjustRightInd w:val="0"/>
              <w:spacing w:after="0"/>
              <w:rPr>
                <w:sz w:val="22"/>
              </w:rPr>
            </w:pPr>
            <w:r w:rsidRPr="00435C2F">
              <w:rPr>
                <w:sz w:val="22"/>
              </w:rPr>
              <w:t>115%</w:t>
            </w:r>
          </w:p>
        </w:tc>
        <w:tc>
          <w:tcPr>
            <w:tcW w:w="1076" w:type="dxa"/>
          </w:tcPr>
          <w:p w14:paraId="1A1575B9" w14:textId="004BA44E" w:rsidR="00134A03" w:rsidRPr="00435C2F" w:rsidRDefault="00134A03" w:rsidP="00E34932">
            <w:pPr>
              <w:autoSpaceDE w:val="0"/>
              <w:autoSpaceDN w:val="0"/>
              <w:adjustRightInd w:val="0"/>
              <w:spacing w:after="0"/>
              <w:rPr>
                <w:sz w:val="22"/>
              </w:rPr>
            </w:pPr>
            <w:r w:rsidRPr="00435C2F">
              <w:rPr>
                <w:sz w:val="22"/>
              </w:rPr>
              <w:t>120%</w:t>
            </w:r>
          </w:p>
        </w:tc>
        <w:tc>
          <w:tcPr>
            <w:tcW w:w="1075" w:type="dxa"/>
          </w:tcPr>
          <w:p w14:paraId="4452006A" w14:textId="5777E7AC" w:rsidR="00134A03" w:rsidRPr="00435C2F" w:rsidRDefault="00134A03" w:rsidP="00E34932">
            <w:pPr>
              <w:autoSpaceDE w:val="0"/>
              <w:autoSpaceDN w:val="0"/>
              <w:adjustRightInd w:val="0"/>
              <w:spacing w:after="0"/>
              <w:rPr>
                <w:sz w:val="22"/>
              </w:rPr>
            </w:pPr>
            <w:r w:rsidRPr="00435C2F">
              <w:rPr>
                <w:sz w:val="22"/>
              </w:rPr>
              <w:t>122%</w:t>
            </w:r>
          </w:p>
        </w:tc>
        <w:tc>
          <w:tcPr>
            <w:tcW w:w="1062" w:type="dxa"/>
          </w:tcPr>
          <w:p w14:paraId="18E6C3EB" w14:textId="2DFFA001" w:rsidR="00134A03" w:rsidRPr="00435C2F" w:rsidRDefault="00134A03" w:rsidP="00E34932">
            <w:pPr>
              <w:autoSpaceDE w:val="0"/>
              <w:autoSpaceDN w:val="0"/>
              <w:adjustRightInd w:val="0"/>
              <w:spacing w:after="0"/>
              <w:rPr>
                <w:sz w:val="22"/>
              </w:rPr>
            </w:pPr>
            <w:r w:rsidRPr="00435C2F">
              <w:rPr>
                <w:sz w:val="22"/>
              </w:rPr>
              <w:t>125%</w:t>
            </w:r>
          </w:p>
        </w:tc>
        <w:tc>
          <w:tcPr>
            <w:tcW w:w="1062" w:type="dxa"/>
          </w:tcPr>
          <w:p w14:paraId="09FB84B8" w14:textId="42AA1D21" w:rsidR="00134A03" w:rsidRPr="00435C2F" w:rsidRDefault="00134A03" w:rsidP="00E34932">
            <w:pPr>
              <w:autoSpaceDE w:val="0"/>
              <w:autoSpaceDN w:val="0"/>
              <w:adjustRightInd w:val="0"/>
              <w:spacing w:after="0"/>
              <w:rPr>
                <w:sz w:val="22"/>
              </w:rPr>
            </w:pPr>
            <w:r w:rsidRPr="00435C2F">
              <w:rPr>
                <w:sz w:val="22"/>
              </w:rPr>
              <w:t>130%</w:t>
            </w:r>
          </w:p>
        </w:tc>
      </w:tr>
    </w:tbl>
    <w:p w14:paraId="31216569" w14:textId="77777777" w:rsidR="00C3359C" w:rsidRPr="00435C2F" w:rsidRDefault="00C3359C" w:rsidP="00F81F70">
      <w:pPr>
        <w:spacing w:after="0"/>
      </w:pPr>
    </w:p>
    <w:p w14:paraId="5F4AC0A1" w14:textId="77777777" w:rsidR="00E34932" w:rsidRPr="00435C2F" w:rsidRDefault="00E34932" w:rsidP="00F81F70">
      <w:pPr>
        <w:spacing w:after="0"/>
      </w:pPr>
    </w:p>
    <w:p w14:paraId="72C77572" w14:textId="40EBDB5B" w:rsidR="00E95FE8" w:rsidRDefault="0098655F" w:rsidP="00AF0E17">
      <w:pPr>
        <w:autoSpaceDE w:val="0"/>
        <w:autoSpaceDN w:val="0"/>
        <w:adjustRightInd w:val="0"/>
        <w:spacing w:after="0"/>
      </w:pPr>
      <w:r w:rsidRPr="00435C2F">
        <w:t>During the fish passage season, e</w:t>
      </w:r>
      <w:r w:rsidR="009F52BD" w:rsidRPr="00435C2F">
        <w:t xml:space="preserve">stimated spill </w:t>
      </w:r>
      <w:r w:rsidR="00E25247" w:rsidRPr="00435C2F">
        <w:t xml:space="preserve">levels </w:t>
      </w:r>
      <w:r w:rsidR="009F52BD" w:rsidRPr="00435C2F">
        <w:t xml:space="preserve">are grouped into different TDG production levels on the </w:t>
      </w:r>
      <w:r w:rsidR="00E82F1A" w:rsidRPr="00435C2F">
        <w:t>S</w:t>
      </w:r>
      <w:r w:rsidR="009F52BD" w:rsidRPr="00435C2F">
        <w:t xml:space="preserve">pill </w:t>
      </w:r>
      <w:r w:rsidR="00E82F1A" w:rsidRPr="00435C2F">
        <w:t>P</w:t>
      </w:r>
      <w:r w:rsidR="009F52BD" w:rsidRPr="00435C2F">
        <w:t xml:space="preserve">riority </w:t>
      </w:r>
      <w:r w:rsidR="00E82F1A" w:rsidRPr="00435C2F">
        <w:t>L</w:t>
      </w:r>
      <w:r w:rsidR="009F52BD" w:rsidRPr="00435C2F">
        <w:t xml:space="preserve">ist as shown </w:t>
      </w:r>
      <w:r w:rsidR="00A71643" w:rsidRPr="00435C2F">
        <w:t>in</w:t>
      </w:r>
      <w:r w:rsidR="00E34932" w:rsidRPr="00435C2F">
        <w:t xml:space="preserve"> </w:t>
      </w:r>
      <w:r w:rsidR="00E34932" w:rsidRPr="00435C2F">
        <w:fldChar w:fldCharType="begin"/>
      </w:r>
      <w:r w:rsidR="00E34932" w:rsidRPr="00435C2F">
        <w:instrText xml:space="preserve"> REF _Ref36480350 \h </w:instrText>
      </w:r>
      <w:r w:rsidR="00435C2F">
        <w:instrText xml:space="preserve"> \* MERGEFORMAT </w:instrText>
      </w:r>
      <w:r w:rsidR="00E34932" w:rsidRPr="00435C2F">
        <w:fldChar w:fldCharType="separate"/>
      </w:r>
      <w:r w:rsidR="00500A0F" w:rsidRPr="00435C2F">
        <w:t xml:space="preserve">Table </w:t>
      </w:r>
      <w:r w:rsidR="00500A0F" w:rsidRPr="00435C2F">
        <w:rPr>
          <w:noProof/>
        </w:rPr>
        <w:t>2</w:t>
      </w:r>
      <w:r w:rsidR="00E34932" w:rsidRPr="00435C2F">
        <w:fldChar w:fldCharType="end"/>
      </w:r>
      <w:r w:rsidR="00E34932" w:rsidRPr="00435C2F">
        <w:t xml:space="preserve"> and </w:t>
      </w:r>
      <w:r w:rsidR="00E34932" w:rsidRPr="00435C2F">
        <w:fldChar w:fldCharType="begin"/>
      </w:r>
      <w:r w:rsidR="00E34932" w:rsidRPr="00435C2F">
        <w:instrText xml:space="preserve"> REF _Ref36480357 \h </w:instrText>
      </w:r>
      <w:r w:rsidR="00435C2F">
        <w:instrText xml:space="preserve"> \* MERGEFORMAT </w:instrText>
      </w:r>
      <w:r w:rsidR="00E34932" w:rsidRPr="00435C2F">
        <w:fldChar w:fldCharType="separate"/>
      </w:r>
      <w:r w:rsidR="00500A0F" w:rsidRPr="00435C2F">
        <w:t xml:space="preserve">Table </w:t>
      </w:r>
      <w:r w:rsidR="00500A0F" w:rsidRPr="00435C2F">
        <w:rPr>
          <w:noProof/>
        </w:rPr>
        <w:t>3</w:t>
      </w:r>
      <w:r w:rsidR="00E34932" w:rsidRPr="00435C2F">
        <w:fldChar w:fldCharType="end"/>
      </w:r>
      <w:r w:rsidR="00936B52" w:rsidRPr="00435C2F">
        <w:t xml:space="preserve">.  Level 1 spill shown in the tables are consistent with the </w:t>
      </w:r>
      <w:r w:rsidR="00AF0E17">
        <w:t xml:space="preserve">FOP which is based on </w:t>
      </w:r>
      <w:r w:rsidR="00067AC9">
        <w:t>current operative</w:t>
      </w:r>
      <w:r w:rsidR="00AF0E17">
        <w:t xml:space="preserve"> documents and is consistent with applicable WQS.  </w:t>
      </w:r>
      <w:r w:rsidR="004565AE">
        <w:t xml:space="preserve">  </w:t>
      </w:r>
      <w:r w:rsidR="000C10A0">
        <w:t xml:space="preserve">   </w:t>
      </w:r>
    </w:p>
    <w:p w14:paraId="04CDC718" w14:textId="16480933" w:rsidR="000C10A0" w:rsidRDefault="000C10A0" w:rsidP="008A254F">
      <w:pPr>
        <w:autoSpaceDE w:val="0"/>
        <w:autoSpaceDN w:val="0"/>
        <w:adjustRightInd w:val="0"/>
        <w:spacing w:after="0"/>
      </w:pPr>
    </w:p>
    <w:p w14:paraId="6495A1CC" w14:textId="5B6CF8C2" w:rsidR="00AF0E17" w:rsidRDefault="00AF0E17" w:rsidP="008A254F">
      <w:pPr>
        <w:autoSpaceDE w:val="0"/>
        <w:autoSpaceDN w:val="0"/>
        <w:adjustRightInd w:val="0"/>
        <w:spacing w:after="0"/>
      </w:pPr>
    </w:p>
    <w:p w14:paraId="7E9008A8" w14:textId="77777777" w:rsidR="00AF0E17" w:rsidRDefault="00AF0E17" w:rsidP="008A254F">
      <w:pPr>
        <w:autoSpaceDE w:val="0"/>
        <w:autoSpaceDN w:val="0"/>
        <w:adjustRightInd w:val="0"/>
        <w:spacing w:after="0"/>
      </w:pPr>
    </w:p>
    <w:p w14:paraId="693C281C" w14:textId="0B64FB6B" w:rsidR="009F52BD" w:rsidRPr="00435C2F" w:rsidRDefault="00FE39D3" w:rsidP="008A254F">
      <w:pPr>
        <w:autoSpaceDE w:val="0"/>
        <w:autoSpaceDN w:val="0"/>
        <w:adjustRightInd w:val="0"/>
        <w:spacing w:after="0"/>
      </w:pPr>
      <w:r w:rsidRPr="00435C2F">
        <w:t xml:space="preserve">TDG is evaluated at the </w:t>
      </w:r>
      <w:r w:rsidR="003F1F4A" w:rsidRPr="00435C2F">
        <w:t xml:space="preserve">appropriate </w:t>
      </w:r>
      <w:r w:rsidRPr="00435C2F">
        <w:t>fixed monitoring stations.</w:t>
      </w:r>
      <w:r w:rsidR="00444B70" w:rsidRPr="00435C2F">
        <w:t xml:space="preserve">  For fish passage spill and lack of market spill, the Bonneville </w:t>
      </w:r>
      <w:r w:rsidR="009A4C3E">
        <w:t xml:space="preserve">Dam </w:t>
      </w:r>
      <w:r w:rsidR="00444B70" w:rsidRPr="00435C2F">
        <w:t xml:space="preserve">spill rate will be limited to 150 kcfs to limit the movement of rocks into the stilling basin </w:t>
      </w:r>
      <w:r w:rsidR="00D67939">
        <w:t xml:space="preserve">which can cause </w:t>
      </w:r>
      <w:r w:rsidR="00444B70" w:rsidRPr="00435C2F">
        <w:t xml:space="preserve">subsequent damage. </w:t>
      </w:r>
    </w:p>
    <w:p w14:paraId="43DBB880" w14:textId="77777777" w:rsidR="009F52BD" w:rsidRPr="00435C2F" w:rsidRDefault="009F52BD" w:rsidP="00403D54">
      <w:pPr>
        <w:autoSpaceDE w:val="0"/>
        <w:autoSpaceDN w:val="0"/>
        <w:adjustRightInd w:val="0"/>
        <w:spacing w:after="0"/>
      </w:pPr>
    </w:p>
    <w:p w14:paraId="5F41E9C7" w14:textId="7D1817CE" w:rsidR="00E46E76" w:rsidRPr="00F81F70" w:rsidRDefault="00E34932" w:rsidP="00F81F70">
      <w:pPr>
        <w:pStyle w:val="Caption"/>
      </w:pPr>
      <w:bookmarkStart w:id="20" w:name="_Ref36480350"/>
      <w:r w:rsidRPr="00F81F70">
        <w:t xml:space="preserve">Table </w:t>
      </w:r>
      <w:r w:rsidR="005F18D7">
        <w:rPr>
          <w:noProof/>
        </w:rPr>
        <w:fldChar w:fldCharType="begin"/>
      </w:r>
      <w:r w:rsidR="005F18D7">
        <w:rPr>
          <w:noProof/>
        </w:rPr>
        <w:instrText xml:space="preserve"> SEQ Table \* ARABIC </w:instrText>
      </w:r>
      <w:r w:rsidR="005F18D7">
        <w:rPr>
          <w:noProof/>
        </w:rPr>
        <w:fldChar w:fldCharType="separate"/>
      </w:r>
      <w:r w:rsidR="00500A0F" w:rsidRPr="00F81F70">
        <w:rPr>
          <w:noProof/>
        </w:rPr>
        <w:t>2</w:t>
      </w:r>
      <w:r w:rsidR="005F18D7">
        <w:rPr>
          <w:noProof/>
        </w:rPr>
        <w:fldChar w:fldCharType="end"/>
      </w:r>
      <w:bookmarkEnd w:id="20"/>
      <w:r w:rsidRPr="00F81F70">
        <w:t>.  The TDG target for each level of the Spill Priority List by project during spring spill.</w:t>
      </w:r>
    </w:p>
    <w:tbl>
      <w:tblPr>
        <w:tblStyle w:val="TableGrid"/>
        <w:tblW w:w="6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5"/>
        <w:gridCol w:w="1260"/>
        <w:gridCol w:w="990"/>
        <w:gridCol w:w="1076"/>
        <w:gridCol w:w="1075"/>
        <w:gridCol w:w="1062"/>
      </w:tblGrid>
      <w:tr w:rsidR="00F81F70" w:rsidRPr="00435C2F" w14:paraId="3920A0A6" w14:textId="77777777" w:rsidTr="004B0D67">
        <w:trPr>
          <w:trHeight w:val="350"/>
        </w:trPr>
        <w:tc>
          <w:tcPr>
            <w:tcW w:w="1345" w:type="dxa"/>
            <w:tcBorders>
              <w:top w:val="single" w:sz="4" w:space="0" w:color="auto"/>
              <w:left w:val="single" w:sz="4" w:space="0" w:color="auto"/>
              <w:bottom w:val="single" w:sz="4" w:space="0" w:color="auto"/>
            </w:tcBorders>
            <w:shd w:val="clear" w:color="auto" w:fill="F2F2F2" w:themeFill="background1" w:themeFillShade="F2"/>
            <w:vAlign w:val="center"/>
          </w:tcPr>
          <w:p w14:paraId="7EB26AFB" w14:textId="77777777" w:rsidR="008603B8" w:rsidRPr="00435C2F" w:rsidRDefault="008603B8" w:rsidP="003D75C4">
            <w:pPr>
              <w:autoSpaceDE w:val="0"/>
              <w:autoSpaceDN w:val="0"/>
              <w:adjustRightInd w:val="0"/>
              <w:spacing w:after="0"/>
              <w:rPr>
                <w:b/>
              </w:rPr>
            </w:pPr>
            <w:r w:rsidRPr="00435C2F">
              <w:rPr>
                <w:b/>
              </w:rPr>
              <w:t>Project</w:t>
            </w:r>
          </w:p>
        </w:tc>
        <w:tc>
          <w:tcPr>
            <w:tcW w:w="1260" w:type="dxa"/>
            <w:tcBorders>
              <w:top w:val="single" w:sz="4" w:space="0" w:color="auto"/>
              <w:bottom w:val="single" w:sz="4" w:space="0" w:color="auto"/>
            </w:tcBorders>
            <w:shd w:val="clear" w:color="auto" w:fill="F2F2F2" w:themeFill="background1" w:themeFillShade="F2"/>
            <w:vAlign w:val="center"/>
          </w:tcPr>
          <w:p w14:paraId="1DBF0A69" w14:textId="77777777" w:rsidR="008603B8" w:rsidRPr="00435C2F" w:rsidRDefault="008603B8" w:rsidP="003D75C4">
            <w:pPr>
              <w:autoSpaceDE w:val="0"/>
              <w:autoSpaceDN w:val="0"/>
              <w:adjustRightInd w:val="0"/>
              <w:spacing w:after="0"/>
              <w:rPr>
                <w:b/>
              </w:rPr>
            </w:pPr>
            <w:r w:rsidRPr="00435C2F">
              <w:rPr>
                <w:b/>
              </w:rPr>
              <w:t>Level 1</w:t>
            </w:r>
          </w:p>
        </w:tc>
        <w:tc>
          <w:tcPr>
            <w:tcW w:w="990" w:type="dxa"/>
            <w:tcBorders>
              <w:top w:val="single" w:sz="4" w:space="0" w:color="auto"/>
              <w:bottom w:val="single" w:sz="4" w:space="0" w:color="auto"/>
            </w:tcBorders>
            <w:shd w:val="clear" w:color="auto" w:fill="F2F2F2" w:themeFill="background1" w:themeFillShade="F2"/>
            <w:vAlign w:val="center"/>
          </w:tcPr>
          <w:p w14:paraId="44FF0EEC" w14:textId="77777777" w:rsidR="008603B8" w:rsidRPr="00435C2F" w:rsidRDefault="008603B8" w:rsidP="003D75C4">
            <w:pPr>
              <w:autoSpaceDE w:val="0"/>
              <w:autoSpaceDN w:val="0"/>
              <w:adjustRightInd w:val="0"/>
              <w:spacing w:after="0"/>
              <w:rPr>
                <w:b/>
              </w:rPr>
            </w:pPr>
            <w:r w:rsidRPr="00435C2F">
              <w:rPr>
                <w:b/>
              </w:rPr>
              <w:t>Level 2</w:t>
            </w:r>
          </w:p>
        </w:tc>
        <w:tc>
          <w:tcPr>
            <w:tcW w:w="1076" w:type="dxa"/>
            <w:tcBorders>
              <w:top w:val="single" w:sz="4" w:space="0" w:color="auto"/>
              <w:bottom w:val="single" w:sz="4" w:space="0" w:color="auto"/>
            </w:tcBorders>
            <w:shd w:val="clear" w:color="auto" w:fill="F2F2F2" w:themeFill="background1" w:themeFillShade="F2"/>
            <w:vAlign w:val="center"/>
          </w:tcPr>
          <w:p w14:paraId="07EC5718" w14:textId="77777777" w:rsidR="008603B8" w:rsidRPr="00435C2F" w:rsidRDefault="008603B8" w:rsidP="003D75C4">
            <w:pPr>
              <w:autoSpaceDE w:val="0"/>
              <w:autoSpaceDN w:val="0"/>
              <w:adjustRightInd w:val="0"/>
              <w:spacing w:after="0"/>
              <w:rPr>
                <w:b/>
              </w:rPr>
            </w:pPr>
            <w:r w:rsidRPr="00435C2F">
              <w:rPr>
                <w:b/>
              </w:rPr>
              <w:t>Level 3</w:t>
            </w:r>
          </w:p>
        </w:tc>
        <w:tc>
          <w:tcPr>
            <w:tcW w:w="1075" w:type="dxa"/>
            <w:tcBorders>
              <w:top w:val="single" w:sz="4" w:space="0" w:color="auto"/>
              <w:bottom w:val="single" w:sz="4" w:space="0" w:color="auto"/>
            </w:tcBorders>
            <w:shd w:val="clear" w:color="auto" w:fill="F2F2F2" w:themeFill="background1" w:themeFillShade="F2"/>
            <w:vAlign w:val="center"/>
          </w:tcPr>
          <w:p w14:paraId="10D5E1A7" w14:textId="77777777" w:rsidR="008603B8" w:rsidRPr="00435C2F" w:rsidRDefault="008603B8" w:rsidP="003D75C4">
            <w:pPr>
              <w:autoSpaceDE w:val="0"/>
              <w:autoSpaceDN w:val="0"/>
              <w:adjustRightInd w:val="0"/>
              <w:spacing w:after="0"/>
              <w:rPr>
                <w:b/>
              </w:rPr>
            </w:pPr>
            <w:r w:rsidRPr="00435C2F">
              <w:rPr>
                <w:b/>
              </w:rPr>
              <w:t>Level 4</w:t>
            </w:r>
          </w:p>
        </w:tc>
        <w:tc>
          <w:tcPr>
            <w:tcW w:w="1062" w:type="dxa"/>
            <w:tcBorders>
              <w:top w:val="single" w:sz="4" w:space="0" w:color="auto"/>
              <w:bottom w:val="single" w:sz="4" w:space="0" w:color="auto"/>
              <w:right w:val="single" w:sz="4" w:space="0" w:color="auto"/>
            </w:tcBorders>
            <w:shd w:val="clear" w:color="auto" w:fill="F2F2F2" w:themeFill="background1" w:themeFillShade="F2"/>
            <w:vAlign w:val="center"/>
          </w:tcPr>
          <w:p w14:paraId="783E8467" w14:textId="77777777" w:rsidR="008603B8" w:rsidRPr="00435C2F" w:rsidRDefault="008603B8" w:rsidP="003D75C4">
            <w:pPr>
              <w:autoSpaceDE w:val="0"/>
              <w:autoSpaceDN w:val="0"/>
              <w:adjustRightInd w:val="0"/>
              <w:spacing w:after="0"/>
              <w:rPr>
                <w:b/>
              </w:rPr>
            </w:pPr>
            <w:r w:rsidRPr="00435C2F">
              <w:rPr>
                <w:b/>
              </w:rPr>
              <w:t>Level 5</w:t>
            </w:r>
          </w:p>
        </w:tc>
      </w:tr>
      <w:tr w:rsidR="00F81F70" w:rsidRPr="00435C2F" w14:paraId="7C683626" w14:textId="77777777" w:rsidTr="004B0D67">
        <w:tc>
          <w:tcPr>
            <w:tcW w:w="1345" w:type="dxa"/>
            <w:tcBorders>
              <w:top w:val="single" w:sz="4" w:space="0" w:color="auto"/>
              <w:left w:val="single" w:sz="4" w:space="0" w:color="auto"/>
            </w:tcBorders>
          </w:tcPr>
          <w:p w14:paraId="33BFCB16" w14:textId="334B0096" w:rsidR="008603B8" w:rsidRPr="00435C2F" w:rsidRDefault="008603B8" w:rsidP="00A71643">
            <w:pPr>
              <w:autoSpaceDE w:val="0"/>
              <w:autoSpaceDN w:val="0"/>
              <w:adjustRightInd w:val="0"/>
              <w:spacing w:after="0"/>
              <w:rPr>
                <w:sz w:val="22"/>
              </w:rPr>
            </w:pPr>
            <w:r w:rsidRPr="00435C2F">
              <w:rPr>
                <w:sz w:val="22"/>
              </w:rPr>
              <w:t>Fish passage projects</w:t>
            </w:r>
          </w:p>
        </w:tc>
        <w:tc>
          <w:tcPr>
            <w:tcW w:w="1260" w:type="dxa"/>
            <w:tcBorders>
              <w:top w:val="single" w:sz="4" w:space="0" w:color="auto"/>
            </w:tcBorders>
          </w:tcPr>
          <w:p w14:paraId="5FDEC91B" w14:textId="569B3CF8" w:rsidR="008603B8" w:rsidRPr="00435C2F" w:rsidRDefault="00984B22" w:rsidP="00E34932">
            <w:pPr>
              <w:autoSpaceDE w:val="0"/>
              <w:autoSpaceDN w:val="0"/>
              <w:adjustRightInd w:val="0"/>
              <w:spacing w:after="0"/>
              <w:rPr>
                <w:sz w:val="22"/>
              </w:rPr>
            </w:pPr>
            <w:r>
              <w:rPr>
                <w:sz w:val="22"/>
              </w:rPr>
              <w:t>FOP spill</w:t>
            </w:r>
            <w:r w:rsidR="00CD1AF4">
              <w:rPr>
                <w:sz w:val="22"/>
              </w:rPr>
              <w:t xml:space="preserve"> </w:t>
            </w:r>
          </w:p>
        </w:tc>
        <w:tc>
          <w:tcPr>
            <w:tcW w:w="990" w:type="dxa"/>
            <w:tcBorders>
              <w:top w:val="single" w:sz="4" w:space="0" w:color="auto"/>
            </w:tcBorders>
          </w:tcPr>
          <w:p w14:paraId="00D600E8" w14:textId="34336521" w:rsidR="008603B8" w:rsidRPr="00435C2F" w:rsidRDefault="008603B8" w:rsidP="00E34932">
            <w:pPr>
              <w:autoSpaceDE w:val="0"/>
              <w:autoSpaceDN w:val="0"/>
              <w:adjustRightInd w:val="0"/>
              <w:spacing w:after="0"/>
              <w:rPr>
                <w:sz w:val="22"/>
              </w:rPr>
            </w:pPr>
            <w:r w:rsidRPr="00435C2F">
              <w:rPr>
                <w:sz w:val="22"/>
              </w:rPr>
              <w:t>125%</w:t>
            </w:r>
          </w:p>
        </w:tc>
        <w:tc>
          <w:tcPr>
            <w:tcW w:w="1076" w:type="dxa"/>
            <w:tcBorders>
              <w:top w:val="single" w:sz="4" w:space="0" w:color="auto"/>
            </w:tcBorders>
          </w:tcPr>
          <w:p w14:paraId="2CED6D91" w14:textId="32BB600E" w:rsidR="008603B8" w:rsidRPr="00435C2F" w:rsidRDefault="008603B8" w:rsidP="00E34932">
            <w:pPr>
              <w:autoSpaceDE w:val="0"/>
              <w:autoSpaceDN w:val="0"/>
              <w:adjustRightInd w:val="0"/>
              <w:spacing w:after="0"/>
              <w:rPr>
                <w:sz w:val="22"/>
              </w:rPr>
            </w:pPr>
            <w:r w:rsidRPr="00435C2F">
              <w:rPr>
                <w:sz w:val="22"/>
              </w:rPr>
              <w:t>130%</w:t>
            </w:r>
          </w:p>
        </w:tc>
        <w:tc>
          <w:tcPr>
            <w:tcW w:w="1075" w:type="dxa"/>
            <w:tcBorders>
              <w:top w:val="single" w:sz="4" w:space="0" w:color="auto"/>
            </w:tcBorders>
          </w:tcPr>
          <w:p w14:paraId="2B9130BD" w14:textId="5960D459" w:rsidR="008603B8" w:rsidRPr="00435C2F" w:rsidRDefault="008603B8" w:rsidP="00E34932">
            <w:pPr>
              <w:autoSpaceDE w:val="0"/>
              <w:autoSpaceDN w:val="0"/>
              <w:adjustRightInd w:val="0"/>
              <w:spacing w:after="0"/>
              <w:rPr>
                <w:sz w:val="22"/>
              </w:rPr>
            </w:pPr>
            <w:r w:rsidRPr="00435C2F">
              <w:rPr>
                <w:sz w:val="22"/>
              </w:rPr>
              <w:t>135%</w:t>
            </w:r>
          </w:p>
        </w:tc>
        <w:tc>
          <w:tcPr>
            <w:tcW w:w="1062" w:type="dxa"/>
            <w:tcBorders>
              <w:top w:val="single" w:sz="4" w:space="0" w:color="auto"/>
              <w:right w:val="single" w:sz="4" w:space="0" w:color="auto"/>
            </w:tcBorders>
          </w:tcPr>
          <w:p w14:paraId="7C079890" w14:textId="72BF3D4F" w:rsidR="008603B8" w:rsidRPr="00435C2F" w:rsidRDefault="008603B8" w:rsidP="00E34932">
            <w:pPr>
              <w:autoSpaceDE w:val="0"/>
              <w:autoSpaceDN w:val="0"/>
              <w:adjustRightInd w:val="0"/>
              <w:spacing w:after="0"/>
              <w:rPr>
                <w:sz w:val="22"/>
              </w:rPr>
            </w:pPr>
            <w:r w:rsidRPr="00435C2F">
              <w:rPr>
                <w:sz w:val="22"/>
              </w:rPr>
              <w:t>--</w:t>
            </w:r>
          </w:p>
        </w:tc>
      </w:tr>
      <w:tr w:rsidR="00CD1AF4" w:rsidRPr="00435C2F" w14:paraId="1AEC95CC" w14:textId="77777777" w:rsidTr="004B0D67">
        <w:tc>
          <w:tcPr>
            <w:tcW w:w="1345" w:type="dxa"/>
            <w:tcBorders>
              <w:top w:val="single" w:sz="4" w:space="0" w:color="auto"/>
              <w:left w:val="single" w:sz="4" w:space="0" w:color="auto"/>
            </w:tcBorders>
          </w:tcPr>
          <w:p w14:paraId="57F873C2" w14:textId="763C4F98" w:rsidR="00CD1AF4" w:rsidRPr="00435C2F" w:rsidRDefault="00CD1AF4" w:rsidP="00CD1AF4">
            <w:pPr>
              <w:autoSpaceDE w:val="0"/>
              <w:autoSpaceDN w:val="0"/>
              <w:adjustRightInd w:val="0"/>
              <w:spacing w:after="0"/>
              <w:rPr>
                <w:sz w:val="22"/>
              </w:rPr>
            </w:pPr>
            <w:proofErr w:type="spellStart"/>
            <w:r>
              <w:rPr>
                <w:sz w:val="22"/>
              </w:rPr>
              <w:t>CHJ</w:t>
            </w:r>
            <w:proofErr w:type="spellEnd"/>
          </w:p>
        </w:tc>
        <w:tc>
          <w:tcPr>
            <w:tcW w:w="1260" w:type="dxa"/>
            <w:tcBorders>
              <w:top w:val="single" w:sz="4" w:space="0" w:color="auto"/>
            </w:tcBorders>
          </w:tcPr>
          <w:p w14:paraId="717DCFA3" w14:textId="1B66C648" w:rsidR="00CD1AF4" w:rsidRDefault="00CD1AF4" w:rsidP="00CD1AF4">
            <w:pPr>
              <w:autoSpaceDE w:val="0"/>
              <w:autoSpaceDN w:val="0"/>
              <w:adjustRightInd w:val="0"/>
              <w:spacing w:after="0"/>
              <w:rPr>
                <w:sz w:val="22"/>
              </w:rPr>
            </w:pPr>
            <w:r w:rsidRPr="00435C2F">
              <w:rPr>
                <w:sz w:val="22"/>
              </w:rPr>
              <w:t>110%</w:t>
            </w:r>
            <w:r>
              <w:rPr>
                <w:sz w:val="22"/>
              </w:rPr>
              <w:t xml:space="preserve"> Gas Cap or degassing cap</w:t>
            </w:r>
          </w:p>
        </w:tc>
        <w:tc>
          <w:tcPr>
            <w:tcW w:w="990" w:type="dxa"/>
            <w:tcBorders>
              <w:top w:val="single" w:sz="4" w:space="0" w:color="auto"/>
            </w:tcBorders>
          </w:tcPr>
          <w:p w14:paraId="02938B37" w14:textId="4B4E9609" w:rsidR="00CD1AF4" w:rsidRPr="00435C2F" w:rsidRDefault="00CD1AF4" w:rsidP="00CD1AF4">
            <w:pPr>
              <w:autoSpaceDE w:val="0"/>
              <w:autoSpaceDN w:val="0"/>
              <w:adjustRightInd w:val="0"/>
              <w:spacing w:after="0"/>
              <w:rPr>
                <w:sz w:val="22"/>
              </w:rPr>
            </w:pPr>
            <w:r w:rsidRPr="00435C2F">
              <w:rPr>
                <w:sz w:val="22"/>
              </w:rPr>
              <w:t>122%</w:t>
            </w:r>
          </w:p>
        </w:tc>
        <w:tc>
          <w:tcPr>
            <w:tcW w:w="1076" w:type="dxa"/>
            <w:tcBorders>
              <w:top w:val="single" w:sz="4" w:space="0" w:color="auto"/>
            </w:tcBorders>
          </w:tcPr>
          <w:p w14:paraId="71507F24" w14:textId="20DEA473" w:rsidR="00CD1AF4" w:rsidRPr="00435C2F" w:rsidRDefault="00CD1AF4" w:rsidP="00CD1AF4">
            <w:pPr>
              <w:autoSpaceDE w:val="0"/>
              <w:autoSpaceDN w:val="0"/>
              <w:adjustRightInd w:val="0"/>
              <w:spacing w:after="0"/>
              <w:rPr>
                <w:sz w:val="22"/>
              </w:rPr>
            </w:pPr>
            <w:r w:rsidRPr="00435C2F">
              <w:rPr>
                <w:sz w:val="22"/>
              </w:rPr>
              <w:t>125%</w:t>
            </w:r>
          </w:p>
        </w:tc>
        <w:tc>
          <w:tcPr>
            <w:tcW w:w="1075" w:type="dxa"/>
            <w:tcBorders>
              <w:top w:val="single" w:sz="4" w:space="0" w:color="auto"/>
            </w:tcBorders>
          </w:tcPr>
          <w:p w14:paraId="382A70D5" w14:textId="185786B4" w:rsidR="00CD1AF4" w:rsidRPr="00435C2F" w:rsidRDefault="00CD1AF4" w:rsidP="00CD1AF4">
            <w:pPr>
              <w:autoSpaceDE w:val="0"/>
              <w:autoSpaceDN w:val="0"/>
              <w:adjustRightInd w:val="0"/>
              <w:spacing w:after="0"/>
              <w:rPr>
                <w:sz w:val="22"/>
              </w:rPr>
            </w:pPr>
            <w:r w:rsidRPr="00435C2F">
              <w:rPr>
                <w:sz w:val="22"/>
              </w:rPr>
              <w:t>130%</w:t>
            </w:r>
          </w:p>
        </w:tc>
        <w:tc>
          <w:tcPr>
            <w:tcW w:w="1062" w:type="dxa"/>
            <w:tcBorders>
              <w:top w:val="single" w:sz="4" w:space="0" w:color="auto"/>
              <w:right w:val="single" w:sz="4" w:space="0" w:color="auto"/>
            </w:tcBorders>
          </w:tcPr>
          <w:p w14:paraId="4F376362" w14:textId="70D76055" w:rsidR="00CD1AF4" w:rsidRPr="00435C2F" w:rsidRDefault="00CD1AF4" w:rsidP="00CD1AF4">
            <w:pPr>
              <w:autoSpaceDE w:val="0"/>
              <w:autoSpaceDN w:val="0"/>
              <w:adjustRightInd w:val="0"/>
              <w:spacing w:after="0"/>
              <w:rPr>
                <w:sz w:val="22"/>
              </w:rPr>
            </w:pPr>
            <w:r w:rsidRPr="00435C2F">
              <w:rPr>
                <w:sz w:val="22"/>
              </w:rPr>
              <w:t>135%</w:t>
            </w:r>
          </w:p>
        </w:tc>
      </w:tr>
      <w:tr w:rsidR="00CD1AF4" w:rsidRPr="00435C2F" w14:paraId="6376AD6A" w14:textId="77777777" w:rsidTr="004B0D67">
        <w:tc>
          <w:tcPr>
            <w:tcW w:w="1345" w:type="dxa"/>
            <w:tcBorders>
              <w:left w:val="single" w:sz="4" w:space="0" w:color="auto"/>
              <w:bottom w:val="single" w:sz="4" w:space="0" w:color="auto"/>
            </w:tcBorders>
          </w:tcPr>
          <w:p w14:paraId="44F24764" w14:textId="7EED7146" w:rsidR="00CD1AF4" w:rsidRPr="00435C2F" w:rsidRDefault="00CD1AF4" w:rsidP="00CD1AF4">
            <w:pPr>
              <w:autoSpaceDE w:val="0"/>
              <w:autoSpaceDN w:val="0"/>
              <w:adjustRightInd w:val="0"/>
              <w:spacing w:after="0"/>
              <w:rPr>
                <w:sz w:val="22"/>
              </w:rPr>
            </w:pPr>
            <w:r w:rsidRPr="00435C2F">
              <w:rPr>
                <w:sz w:val="22"/>
              </w:rPr>
              <w:t>GCL, DWR.</w:t>
            </w:r>
          </w:p>
        </w:tc>
        <w:tc>
          <w:tcPr>
            <w:tcW w:w="1260" w:type="dxa"/>
            <w:tcBorders>
              <w:bottom w:val="single" w:sz="4" w:space="0" w:color="auto"/>
            </w:tcBorders>
          </w:tcPr>
          <w:p w14:paraId="1DA99D46" w14:textId="758C170F" w:rsidR="00CD1AF4" w:rsidRPr="00435C2F" w:rsidRDefault="00CD1AF4" w:rsidP="00CD1AF4">
            <w:pPr>
              <w:autoSpaceDE w:val="0"/>
              <w:autoSpaceDN w:val="0"/>
              <w:adjustRightInd w:val="0"/>
              <w:spacing w:after="0"/>
              <w:rPr>
                <w:sz w:val="22"/>
              </w:rPr>
            </w:pPr>
            <w:r w:rsidRPr="00435C2F">
              <w:rPr>
                <w:sz w:val="22"/>
              </w:rPr>
              <w:t>110%</w:t>
            </w:r>
            <w:r>
              <w:rPr>
                <w:sz w:val="22"/>
              </w:rPr>
              <w:t xml:space="preserve"> Gas Cap </w:t>
            </w:r>
          </w:p>
        </w:tc>
        <w:tc>
          <w:tcPr>
            <w:tcW w:w="990" w:type="dxa"/>
            <w:tcBorders>
              <w:bottom w:val="single" w:sz="4" w:space="0" w:color="auto"/>
            </w:tcBorders>
          </w:tcPr>
          <w:p w14:paraId="0F034705" w14:textId="20923DCA" w:rsidR="00CD1AF4" w:rsidRPr="00435C2F" w:rsidRDefault="00CD1AF4" w:rsidP="00CD1AF4">
            <w:pPr>
              <w:autoSpaceDE w:val="0"/>
              <w:autoSpaceDN w:val="0"/>
              <w:adjustRightInd w:val="0"/>
              <w:spacing w:after="0"/>
              <w:rPr>
                <w:sz w:val="22"/>
              </w:rPr>
            </w:pPr>
            <w:r w:rsidRPr="00435C2F">
              <w:rPr>
                <w:sz w:val="22"/>
              </w:rPr>
              <w:t>122%</w:t>
            </w:r>
          </w:p>
        </w:tc>
        <w:tc>
          <w:tcPr>
            <w:tcW w:w="1076" w:type="dxa"/>
            <w:tcBorders>
              <w:bottom w:val="single" w:sz="4" w:space="0" w:color="auto"/>
            </w:tcBorders>
          </w:tcPr>
          <w:p w14:paraId="0BC85453" w14:textId="6A2F472A" w:rsidR="00CD1AF4" w:rsidRPr="00435C2F" w:rsidRDefault="00CD1AF4" w:rsidP="00CD1AF4">
            <w:pPr>
              <w:autoSpaceDE w:val="0"/>
              <w:autoSpaceDN w:val="0"/>
              <w:adjustRightInd w:val="0"/>
              <w:spacing w:after="0"/>
              <w:rPr>
                <w:sz w:val="22"/>
              </w:rPr>
            </w:pPr>
            <w:r w:rsidRPr="00435C2F">
              <w:rPr>
                <w:sz w:val="22"/>
              </w:rPr>
              <w:t>125%</w:t>
            </w:r>
          </w:p>
        </w:tc>
        <w:tc>
          <w:tcPr>
            <w:tcW w:w="1075" w:type="dxa"/>
            <w:tcBorders>
              <w:bottom w:val="single" w:sz="4" w:space="0" w:color="auto"/>
            </w:tcBorders>
          </w:tcPr>
          <w:p w14:paraId="1F57AEE6" w14:textId="0D22E62C" w:rsidR="00CD1AF4" w:rsidRPr="00435C2F" w:rsidRDefault="00CD1AF4" w:rsidP="00CD1AF4">
            <w:pPr>
              <w:autoSpaceDE w:val="0"/>
              <w:autoSpaceDN w:val="0"/>
              <w:adjustRightInd w:val="0"/>
              <w:spacing w:after="0"/>
              <w:rPr>
                <w:sz w:val="22"/>
              </w:rPr>
            </w:pPr>
            <w:r w:rsidRPr="00435C2F">
              <w:rPr>
                <w:sz w:val="22"/>
              </w:rPr>
              <w:t>130%</w:t>
            </w:r>
          </w:p>
        </w:tc>
        <w:tc>
          <w:tcPr>
            <w:tcW w:w="1062" w:type="dxa"/>
            <w:tcBorders>
              <w:bottom w:val="single" w:sz="4" w:space="0" w:color="auto"/>
              <w:right w:val="single" w:sz="4" w:space="0" w:color="auto"/>
            </w:tcBorders>
          </w:tcPr>
          <w:p w14:paraId="01DD709F" w14:textId="7E575FF0" w:rsidR="00CD1AF4" w:rsidRPr="00435C2F" w:rsidRDefault="00CD1AF4" w:rsidP="00CD1AF4">
            <w:pPr>
              <w:autoSpaceDE w:val="0"/>
              <w:autoSpaceDN w:val="0"/>
              <w:adjustRightInd w:val="0"/>
              <w:spacing w:after="0"/>
              <w:rPr>
                <w:sz w:val="22"/>
              </w:rPr>
            </w:pPr>
            <w:r w:rsidRPr="00435C2F">
              <w:rPr>
                <w:sz w:val="22"/>
              </w:rPr>
              <w:t>135%</w:t>
            </w:r>
          </w:p>
        </w:tc>
      </w:tr>
    </w:tbl>
    <w:p w14:paraId="22AD8A16" w14:textId="4622CED9" w:rsidR="00B4703E" w:rsidRPr="00435C2F" w:rsidRDefault="00B4703E" w:rsidP="00895C70"/>
    <w:p w14:paraId="383E8D94" w14:textId="124ED0E4" w:rsidR="00E34932" w:rsidRPr="00E630CE" w:rsidRDefault="00E34932" w:rsidP="00E27090">
      <w:pPr>
        <w:pStyle w:val="Caption"/>
      </w:pPr>
      <w:bookmarkStart w:id="21" w:name="_Ref36480357"/>
      <w:r w:rsidRPr="00F81F70">
        <w:t xml:space="preserve">Table </w:t>
      </w:r>
      <w:r w:rsidR="00D5066C">
        <w:rPr>
          <w:noProof/>
        </w:rPr>
        <w:fldChar w:fldCharType="begin"/>
      </w:r>
      <w:r w:rsidR="00D5066C">
        <w:rPr>
          <w:noProof/>
        </w:rPr>
        <w:instrText xml:space="preserve"> SEQ Table \* ARABIC </w:instrText>
      </w:r>
      <w:r w:rsidR="00D5066C">
        <w:rPr>
          <w:noProof/>
        </w:rPr>
        <w:fldChar w:fldCharType="separate"/>
      </w:r>
      <w:r w:rsidR="00500A0F" w:rsidRPr="00E27090">
        <w:rPr>
          <w:noProof/>
        </w:rPr>
        <w:t>3</w:t>
      </w:r>
      <w:r w:rsidR="00D5066C">
        <w:rPr>
          <w:noProof/>
        </w:rPr>
        <w:fldChar w:fldCharType="end"/>
      </w:r>
      <w:bookmarkEnd w:id="21"/>
      <w:r w:rsidRPr="00E27090">
        <w:t>.  The TDG target for each level of the Spill Priority</w:t>
      </w:r>
      <w:r w:rsidRPr="00E630CE">
        <w:t xml:space="preserve"> List by project during summer spill.</w:t>
      </w:r>
    </w:p>
    <w:tbl>
      <w:tblPr>
        <w:tblStyle w:val="TableGrid"/>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823"/>
        <w:gridCol w:w="985"/>
        <w:gridCol w:w="1012"/>
        <w:gridCol w:w="1069"/>
        <w:gridCol w:w="1069"/>
        <w:gridCol w:w="1092"/>
        <w:gridCol w:w="1072"/>
      </w:tblGrid>
      <w:tr w:rsidR="00F81F70" w:rsidRPr="00435C2F" w14:paraId="19619A05" w14:textId="77777777" w:rsidTr="001B0EA5">
        <w:trPr>
          <w:trHeight w:val="350"/>
        </w:trPr>
        <w:tc>
          <w:tcPr>
            <w:tcW w:w="1341" w:type="dxa"/>
            <w:tcBorders>
              <w:top w:val="single" w:sz="4" w:space="0" w:color="auto"/>
              <w:left w:val="single" w:sz="4" w:space="0" w:color="auto"/>
              <w:bottom w:val="single" w:sz="4" w:space="0" w:color="auto"/>
            </w:tcBorders>
            <w:shd w:val="clear" w:color="auto" w:fill="F2F2F2" w:themeFill="background1" w:themeFillShade="F2"/>
            <w:vAlign w:val="center"/>
          </w:tcPr>
          <w:p w14:paraId="7D6765F9" w14:textId="77777777" w:rsidR="00895C70" w:rsidRPr="00435C2F" w:rsidRDefault="00895C70" w:rsidP="00E34932">
            <w:pPr>
              <w:autoSpaceDE w:val="0"/>
              <w:autoSpaceDN w:val="0"/>
              <w:adjustRightInd w:val="0"/>
              <w:spacing w:after="0"/>
              <w:rPr>
                <w:b/>
              </w:rPr>
            </w:pPr>
            <w:r w:rsidRPr="00435C2F">
              <w:rPr>
                <w:b/>
              </w:rPr>
              <w:t>Project</w:t>
            </w:r>
          </w:p>
        </w:tc>
        <w:tc>
          <w:tcPr>
            <w:tcW w:w="1823" w:type="dxa"/>
            <w:tcBorders>
              <w:top w:val="single" w:sz="4" w:space="0" w:color="auto"/>
              <w:bottom w:val="single" w:sz="4" w:space="0" w:color="auto"/>
            </w:tcBorders>
            <w:shd w:val="clear" w:color="auto" w:fill="F2F2F2" w:themeFill="background1" w:themeFillShade="F2"/>
            <w:vAlign w:val="center"/>
          </w:tcPr>
          <w:p w14:paraId="02C00B1B" w14:textId="77777777" w:rsidR="00895C70" w:rsidRPr="00435C2F" w:rsidRDefault="00895C70" w:rsidP="00E34932">
            <w:pPr>
              <w:autoSpaceDE w:val="0"/>
              <w:autoSpaceDN w:val="0"/>
              <w:adjustRightInd w:val="0"/>
              <w:spacing w:after="0"/>
              <w:rPr>
                <w:b/>
              </w:rPr>
            </w:pPr>
            <w:r w:rsidRPr="00435C2F">
              <w:rPr>
                <w:b/>
              </w:rPr>
              <w:t>Level 1</w:t>
            </w:r>
          </w:p>
        </w:tc>
        <w:tc>
          <w:tcPr>
            <w:tcW w:w="985" w:type="dxa"/>
            <w:tcBorders>
              <w:top w:val="single" w:sz="4" w:space="0" w:color="auto"/>
              <w:bottom w:val="single" w:sz="4" w:space="0" w:color="auto"/>
            </w:tcBorders>
            <w:shd w:val="clear" w:color="auto" w:fill="F2F2F2" w:themeFill="background1" w:themeFillShade="F2"/>
            <w:vAlign w:val="center"/>
          </w:tcPr>
          <w:p w14:paraId="1C76B1D9" w14:textId="77777777" w:rsidR="00895C70" w:rsidRPr="00435C2F" w:rsidRDefault="00895C70" w:rsidP="00E34932">
            <w:pPr>
              <w:autoSpaceDE w:val="0"/>
              <w:autoSpaceDN w:val="0"/>
              <w:adjustRightInd w:val="0"/>
              <w:spacing w:after="0"/>
              <w:jc w:val="center"/>
              <w:rPr>
                <w:b/>
              </w:rPr>
            </w:pPr>
            <w:r w:rsidRPr="00435C2F">
              <w:rPr>
                <w:b/>
              </w:rPr>
              <w:t>Level 2</w:t>
            </w:r>
          </w:p>
        </w:tc>
        <w:tc>
          <w:tcPr>
            <w:tcW w:w="1012" w:type="dxa"/>
            <w:tcBorders>
              <w:top w:val="single" w:sz="4" w:space="0" w:color="auto"/>
              <w:bottom w:val="single" w:sz="4" w:space="0" w:color="auto"/>
            </w:tcBorders>
            <w:shd w:val="clear" w:color="auto" w:fill="F2F2F2" w:themeFill="background1" w:themeFillShade="F2"/>
            <w:vAlign w:val="center"/>
          </w:tcPr>
          <w:p w14:paraId="10919DAA" w14:textId="77777777" w:rsidR="00895C70" w:rsidRPr="00435C2F" w:rsidRDefault="00895C70" w:rsidP="00E34932">
            <w:pPr>
              <w:autoSpaceDE w:val="0"/>
              <w:autoSpaceDN w:val="0"/>
              <w:adjustRightInd w:val="0"/>
              <w:spacing w:after="0"/>
              <w:jc w:val="center"/>
              <w:rPr>
                <w:b/>
              </w:rPr>
            </w:pPr>
            <w:r w:rsidRPr="00435C2F">
              <w:rPr>
                <w:b/>
              </w:rPr>
              <w:t>Level 3</w:t>
            </w:r>
          </w:p>
        </w:tc>
        <w:tc>
          <w:tcPr>
            <w:tcW w:w="1069" w:type="dxa"/>
            <w:tcBorders>
              <w:top w:val="single" w:sz="4" w:space="0" w:color="auto"/>
              <w:bottom w:val="single" w:sz="4" w:space="0" w:color="auto"/>
            </w:tcBorders>
            <w:shd w:val="clear" w:color="auto" w:fill="F2F2F2" w:themeFill="background1" w:themeFillShade="F2"/>
            <w:vAlign w:val="center"/>
          </w:tcPr>
          <w:p w14:paraId="3D5A4658" w14:textId="77777777" w:rsidR="00895C70" w:rsidRPr="00435C2F" w:rsidRDefault="00895C70" w:rsidP="00E34932">
            <w:pPr>
              <w:autoSpaceDE w:val="0"/>
              <w:autoSpaceDN w:val="0"/>
              <w:adjustRightInd w:val="0"/>
              <w:spacing w:after="0"/>
              <w:rPr>
                <w:b/>
              </w:rPr>
            </w:pPr>
            <w:r w:rsidRPr="00435C2F">
              <w:rPr>
                <w:b/>
              </w:rPr>
              <w:t>Level 4</w:t>
            </w:r>
          </w:p>
        </w:tc>
        <w:tc>
          <w:tcPr>
            <w:tcW w:w="1069" w:type="dxa"/>
            <w:tcBorders>
              <w:top w:val="single" w:sz="4" w:space="0" w:color="auto"/>
              <w:bottom w:val="single" w:sz="4" w:space="0" w:color="auto"/>
            </w:tcBorders>
            <w:shd w:val="clear" w:color="auto" w:fill="F2F2F2" w:themeFill="background1" w:themeFillShade="F2"/>
            <w:vAlign w:val="center"/>
          </w:tcPr>
          <w:p w14:paraId="4B4971AA" w14:textId="77777777" w:rsidR="00895C70" w:rsidRPr="00435C2F" w:rsidRDefault="00895C70" w:rsidP="00E34932">
            <w:pPr>
              <w:autoSpaceDE w:val="0"/>
              <w:autoSpaceDN w:val="0"/>
              <w:adjustRightInd w:val="0"/>
              <w:spacing w:after="0"/>
              <w:rPr>
                <w:b/>
              </w:rPr>
            </w:pPr>
            <w:r w:rsidRPr="00435C2F">
              <w:rPr>
                <w:b/>
              </w:rPr>
              <w:t>Level 5</w:t>
            </w:r>
          </w:p>
        </w:tc>
        <w:tc>
          <w:tcPr>
            <w:tcW w:w="1092" w:type="dxa"/>
            <w:tcBorders>
              <w:top w:val="single" w:sz="4" w:space="0" w:color="auto"/>
              <w:bottom w:val="single" w:sz="4" w:space="0" w:color="auto"/>
            </w:tcBorders>
            <w:shd w:val="clear" w:color="auto" w:fill="F2F2F2" w:themeFill="background1" w:themeFillShade="F2"/>
            <w:vAlign w:val="center"/>
          </w:tcPr>
          <w:p w14:paraId="5B9A5C79" w14:textId="77777777" w:rsidR="00895C70" w:rsidRPr="00435C2F" w:rsidRDefault="00895C70" w:rsidP="00E34932">
            <w:pPr>
              <w:autoSpaceDE w:val="0"/>
              <w:autoSpaceDN w:val="0"/>
              <w:adjustRightInd w:val="0"/>
              <w:spacing w:after="0"/>
              <w:rPr>
                <w:b/>
              </w:rPr>
            </w:pPr>
            <w:r w:rsidRPr="00435C2F">
              <w:rPr>
                <w:b/>
              </w:rPr>
              <w:t>Level 6</w:t>
            </w:r>
          </w:p>
        </w:tc>
        <w:tc>
          <w:tcPr>
            <w:tcW w:w="1072" w:type="dxa"/>
            <w:tcBorders>
              <w:top w:val="single" w:sz="4" w:space="0" w:color="auto"/>
              <w:bottom w:val="single" w:sz="4" w:space="0" w:color="auto"/>
              <w:right w:val="single" w:sz="4" w:space="0" w:color="auto"/>
            </w:tcBorders>
            <w:shd w:val="clear" w:color="auto" w:fill="F2F2F2" w:themeFill="background1" w:themeFillShade="F2"/>
            <w:vAlign w:val="center"/>
          </w:tcPr>
          <w:p w14:paraId="4BDA865E" w14:textId="77777777" w:rsidR="00895C70" w:rsidRPr="00435C2F" w:rsidRDefault="00895C70" w:rsidP="00E34932">
            <w:pPr>
              <w:autoSpaceDE w:val="0"/>
              <w:autoSpaceDN w:val="0"/>
              <w:adjustRightInd w:val="0"/>
              <w:spacing w:after="0"/>
              <w:rPr>
                <w:b/>
              </w:rPr>
            </w:pPr>
            <w:r w:rsidRPr="00435C2F">
              <w:rPr>
                <w:b/>
              </w:rPr>
              <w:t>Level 7</w:t>
            </w:r>
          </w:p>
        </w:tc>
      </w:tr>
      <w:tr w:rsidR="00233C0E" w:rsidRPr="00435C2F" w14:paraId="45F60AC1" w14:textId="77777777" w:rsidTr="001B0EA5">
        <w:tc>
          <w:tcPr>
            <w:tcW w:w="1341" w:type="dxa"/>
            <w:tcBorders>
              <w:top w:val="single" w:sz="4" w:space="0" w:color="auto"/>
              <w:left w:val="single" w:sz="4" w:space="0" w:color="auto"/>
            </w:tcBorders>
          </w:tcPr>
          <w:p w14:paraId="505E6B70" w14:textId="77777777" w:rsidR="00233C0E" w:rsidRPr="00435C2F" w:rsidRDefault="00233C0E" w:rsidP="00233C0E">
            <w:pPr>
              <w:autoSpaceDE w:val="0"/>
              <w:autoSpaceDN w:val="0"/>
              <w:adjustRightInd w:val="0"/>
              <w:spacing w:after="0"/>
              <w:rPr>
                <w:sz w:val="22"/>
              </w:rPr>
            </w:pPr>
            <w:r w:rsidRPr="00435C2F">
              <w:rPr>
                <w:sz w:val="22"/>
              </w:rPr>
              <w:t>Fish passage projects</w:t>
            </w:r>
          </w:p>
        </w:tc>
        <w:tc>
          <w:tcPr>
            <w:tcW w:w="1823" w:type="dxa"/>
            <w:tcBorders>
              <w:top w:val="single" w:sz="4" w:space="0" w:color="auto"/>
            </w:tcBorders>
          </w:tcPr>
          <w:p w14:paraId="514C7550" w14:textId="25F1CE31" w:rsidR="00233C0E" w:rsidRPr="00435C2F" w:rsidRDefault="00233C0E" w:rsidP="00233C0E">
            <w:pPr>
              <w:autoSpaceDE w:val="0"/>
              <w:autoSpaceDN w:val="0"/>
              <w:adjustRightInd w:val="0"/>
              <w:spacing w:after="0"/>
              <w:rPr>
                <w:sz w:val="22"/>
              </w:rPr>
            </w:pPr>
            <w:r w:rsidRPr="00435C2F">
              <w:rPr>
                <w:sz w:val="22"/>
              </w:rPr>
              <w:t>115%</w:t>
            </w:r>
            <w:r w:rsidR="008B537F">
              <w:rPr>
                <w:sz w:val="22"/>
              </w:rPr>
              <w:t>/120%</w:t>
            </w:r>
            <w:r w:rsidRPr="00435C2F">
              <w:rPr>
                <w:sz w:val="22"/>
              </w:rPr>
              <w:t xml:space="preserve"> Gas Cap</w:t>
            </w:r>
          </w:p>
        </w:tc>
        <w:tc>
          <w:tcPr>
            <w:tcW w:w="985" w:type="dxa"/>
            <w:tcBorders>
              <w:top w:val="single" w:sz="4" w:space="0" w:color="auto"/>
            </w:tcBorders>
          </w:tcPr>
          <w:p w14:paraId="7D3D5ECB" w14:textId="77777777" w:rsidR="00233C0E" w:rsidRPr="00435C2F" w:rsidRDefault="00233C0E" w:rsidP="00233C0E">
            <w:pPr>
              <w:autoSpaceDE w:val="0"/>
              <w:autoSpaceDN w:val="0"/>
              <w:adjustRightInd w:val="0"/>
              <w:spacing w:after="0"/>
              <w:rPr>
                <w:sz w:val="22"/>
              </w:rPr>
            </w:pPr>
            <w:r w:rsidRPr="00435C2F">
              <w:rPr>
                <w:sz w:val="22"/>
              </w:rPr>
              <w:t>120%</w:t>
            </w:r>
          </w:p>
        </w:tc>
        <w:tc>
          <w:tcPr>
            <w:tcW w:w="1012" w:type="dxa"/>
            <w:tcBorders>
              <w:top w:val="single" w:sz="4" w:space="0" w:color="auto"/>
            </w:tcBorders>
          </w:tcPr>
          <w:p w14:paraId="366A7EB1" w14:textId="77777777" w:rsidR="00233C0E" w:rsidRPr="00435C2F" w:rsidRDefault="00233C0E" w:rsidP="00233C0E">
            <w:pPr>
              <w:autoSpaceDE w:val="0"/>
              <w:autoSpaceDN w:val="0"/>
              <w:adjustRightInd w:val="0"/>
              <w:spacing w:after="0"/>
              <w:rPr>
                <w:sz w:val="22"/>
              </w:rPr>
            </w:pPr>
            <w:r w:rsidRPr="00435C2F">
              <w:rPr>
                <w:sz w:val="22"/>
              </w:rPr>
              <w:t>122%</w:t>
            </w:r>
          </w:p>
        </w:tc>
        <w:tc>
          <w:tcPr>
            <w:tcW w:w="1069" w:type="dxa"/>
            <w:tcBorders>
              <w:top w:val="single" w:sz="4" w:space="0" w:color="auto"/>
            </w:tcBorders>
          </w:tcPr>
          <w:p w14:paraId="2E8B2A56" w14:textId="77777777" w:rsidR="00233C0E" w:rsidRPr="00435C2F" w:rsidRDefault="00233C0E" w:rsidP="00233C0E">
            <w:pPr>
              <w:autoSpaceDE w:val="0"/>
              <w:autoSpaceDN w:val="0"/>
              <w:adjustRightInd w:val="0"/>
              <w:spacing w:after="0"/>
              <w:rPr>
                <w:sz w:val="22"/>
              </w:rPr>
            </w:pPr>
            <w:r w:rsidRPr="00435C2F">
              <w:rPr>
                <w:sz w:val="22"/>
              </w:rPr>
              <w:t>125%</w:t>
            </w:r>
          </w:p>
        </w:tc>
        <w:tc>
          <w:tcPr>
            <w:tcW w:w="1069" w:type="dxa"/>
            <w:tcBorders>
              <w:top w:val="single" w:sz="4" w:space="0" w:color="auto"/>
            </w:tcBorders>
          </w:tcPr>
          <w:p w14:paraId="2BE3FD82" w14:textId="77777777" w:rsidR="00233C0E" w:rsidRPr="00435C2F" w:rsidRDefault="00233C0E" w:rsidP="00233C0E">
            <w:pPr>
              <w:autoSpaceDE w:val="0"/>
              <w:autoSpaceDN w:val="0"/>
              <w:adjustRightInd w:val="0"/>
              <w:spacing w:after="0"/>
              <w:rPr>
                <w:sz w:val="22"/>
              </w:rPr>
            </w:pPr>
            <w:r w:rsidRPr="00435C2F">
              <w:rPr>
                <w:sz w:val="22"/>
              </w:rPr>
              <w:t>130%</w:t>
            </w:r>
          </w:p>
        </w:tc>
        <w:tc>
          <w:tcPr>
            <w:tcW w:w="1092" w:type="dxa"/>
            <w:tcBorders>
              <w:top w:val="single" w:sz="4" w:space="0" w:color="auto"/>
            </w:tcBorders>
          </w:tcPr>
          <w:p w14:paraId="64813D04" w14:textId="77777777" w:rsidR="00233C0E" w:rsidRPr="00435C2F" w:rsidRDefault="00233C0E" w:rsidP="00233C0E">
            <w:pPr>
              <w:autoSpaceDE w:val="0"/>
              <w:autoSpaceDN w:val="0"/>
              <w:adjustRightInd w:val="0"/>
              <w:spacing w:after="0"/>
              <w:rPr>
                <w:sz w:val="22"/>
              </w:rPr>
            </w:pPr>
            <w:r w:rsidRPr="00435C2F">
              <w:rPr>
                <w:sz w:val="22"/>
              </w:rPr>
              <w:t>135%</w:t>
            </w:r>
          </w:p>
        </w:tc>
        <w:tc>
          <w:tcPr>
            <w:tcW w:w="1072" w:type="dxa"/>
            <w:tcBorders>
              <w:top w:val="single" w:sz="4" w:space="0" w:color="auto"/>
              <w:left w:val="nil"/>
              <w:right w:val="single" w:sz="4" w:space="0" w:color="auto"/>
            </w:tcBorders>
          </w:tcPr>
          <w:p w14:paraId="4D0EA5A8" w14:textId="77777777" w:rsidR="00233C0E" w:rsidRPr="00435C2F" w:rsidRDefault="00233C0E" w:rsidP="00233C0E">
            <w:pPr>
              <w:spacing w:after="0"/>
            </w:pPr>
            <w:r w:rsidRPr="00435C2F">
              <w:rPr>
                <w:sz w:val="22"/>
              </w:rPr>
              <w:t>--</w:t>
            </w:r>
          </w:p>
        </w:tc>
      </w:tr>
      <w:tr w:rsidR="00AF4B0C" w:rsidRPr="00435C2F" w14:paraId="738434FB" w14:textId="77777777" w:rsidTr="001B0EA5">
        <w:tc>
          <w:tcPr>
            <w:tcW w:w="1341" w:type="dxa"/>
            <w:tcBorders>
              <w:top w:val="single" w:sz="4" w:space="0" w:color="auto"/>
              <w:left w:val="single" w:sz="4" w:space="0" w:color="auto"/>
            </w:tcBorders>
          </w:tcPr>
          <w:p w14:paraId="40CEBD27" w14:textId="645A778A" w:rsidR="00AF4B0C" w:rsidRPr="00435C2F" w:rsidRDefault="00AF4B0C" w:rsidP="00AF4B0C">
            <w:pPr>
              <w:autoSpaceDE w:val="0"/>
              <w:autoSpaceDN w:val="0"/>
              <w:adjustRightInd w:val="0"/>
              <w:spacing w:after="0"/>
              <w:rPr>
                <w:sz w:val="22"/>
              </w:rPr>
            </w:pPr>
            <w:r>
              <w:rPr>
                <w:sz w:val="22"/>
              </w:rPr>
              <w:t>CHJ</w:t>
            </w:r>
          </w:p>
        </w:tc>
        <w:tc>
          <w:tcPr>
            <w:tcW w:w="1823" w:type="dxa"/>
            <w:tcBorders>
              <w:top w:val="single" w:sz="4" w:space="0" w:color="auto"/>
            </w:tcBorders>
          </w:tcPr>
          <w:p w14:paraId="563B4F78" w14:textId="70BDB352" w:rsidR="00AF4B0C" w:rsidRPr="00435C2F" w:rsidRDefault="00AF4B0C" w:rsidP="00AF4B0C">
            <w:pPr>
              <w:autoSpaceDE w:val="0"/>
              <w:autoSpaceDN w:val="0"/>
              <w:adjustRightInd w:val="0"/>
              <w:spacing w:after="0"/>
              <w:rPr>
                <w:sz w:val="22"/>
              </w:rPr>
            </w:pPr>
            <w:r>
              <w:rPr>
                <w:sz w:val="22"/>
              </w:rPr>
              <w:t>110% Gas Cap or degassing cap</w:t>
            </w:r>
          </w:p>
        </w:tc>
        <w:tc>
          <w:tcPr>
            <w:tcW w:w="985" w:type="dxa"/>
            <w:tcBorders>
              <w:top w:val="single" w:sz="4" w:space="0" w:color="auto"/>
            </w:tcBorders>
          </w:tcPr>
          <w:p w14:paraId="3C648151" w14:textId="2BAFB465" w:rsidR="00AF4B0C" w:rsidRPr="00435C2F" w:rsidRDefault="00AF4B0C" w:rsidP="00AF4B0C">
            <w:pPr>
              <w:autoSpaceDE w:val="0"/>
              <w:autoSpaceDN w:val="0"/>
              <w:adjustRightInd w:val="0"/>
              <w:spacing w:after="0"/>
              <w:rPr>
                <w:sz w:val="22"/>
              </w:rPr>
            </w:pPr>
            <w:r w:rsidRPr="00435C2F">
              <w:rPr>
                <w:sz w:val="22"/>
              </w:rPr>
              <w:t>115%</w:t>
            </w:r>
          </w:p>
        </w:tc>
        <w:tc>
          <w:tcPr>
            <w:tcW w:w="1012" w:type="dxa"/>
            <w:tcBorders>
              <w:top w:val="single" w:sz="4" w:space="0" w:color="auto"/>
            </w:tcBorders>
          </w:tcPr>
          <w:p w14:paraId="76C1C847" w14:textId="0EA845A2" w:rsidR="00AF4B0C" w:rsidRPr="00435C2F" w:rsidRDefault="00AF4B0C" w:rsidP="00AF4B0C">
            <w:pPr>
              <w:autoSpaceDE w:val="0"/>
              <w:autoSpaceDN w:val="0"/>
              <w:adjustRightInd w:val="0"/>
              <w:spacing w:after="0"/>
              <w:rPr>
                <w:sz w:val="22"/>
              </w:rPr>
            </w:pPr>
            <w:r w:rsidRPr="00435C2F">
              <w:rPr>
                <w:sz w:val="22"/>
              </w:rPr>
              <w:t>120%</w:t>
            </w:r>
          </w:p>
        </w:tc>
        <w:tc>
          <w:tcPr>
            <w:tcW w:w="1069" w:type="dxa"/>
            <w:tcBorders>
              <w:top w:val="single" w:sz="4" w:space="0" w:color="auto"/>
            </w:tcBorders>
          </w:tcPr>
          <w:p w14:paraId="032D536B" w14:textId="68842181" w:rsidR="00AF4B0C" w:rsidRPr="00435C2F" w:rsidRDefault="00AF4B0C" w:rsidP="00AF4B0C">
            <w:pPr>
              <w:autoSpaceDE w:val="0"/>
              <w:autoSpaceDN w:val="0"/>
              <w:adjustRightInd w:val="0"/>
              <w:spacing w:after="0"/>
              <w:rPr>
                <w:sz w:val="22"/>
              </w:rPr>
            </w:pPr>
            <w:r w:rsidRPr="00435C2F">
              <w:rPr>
                <w:sz w:val="22"/>
              </w:rPr>
              <w:t>122%</w:t>
            </w:r>
          </w:p>
        </w:tc>
        <w:tc>
          <w:tcPr>
            <w:tcW w:w="1069" w:type="dxa"/>
            <w:tcBorders>
              <w:top w:val="single" w:sz="4" w:space="0" w:color="auto"/>
            </w:tcBorders>
          </w:tcPr>
          <w:p w14:paraId="7CE5DAA7" w14:textId="300640E9" w:rsidR="00AF4B0C" w:rsidRPr="00435C2F" w:rsidRDefault="00AF4B0C" w:rsidP="00AF4B0C">
            <w:pPr>
              <w:autoSpaceDE w:val="0"/>
              <w:autoSpaceDN w:val="0"/>
              <w:adjustRightInd w:val="0"/>
              <w:spacing w:after="0"/>
              <w:rPr>
                <w:sz w:val="22"/>
              </w:rPr>
            </w:pPr>
            <w:r w:rsidRPr="00435C2F">
              <w:rPr>
                <w:sz w:val="22"/>
              </w:rPr>
              <w:t>125%</w:t>
            </w:r>
          </w:p>
        </w:tc>
        <w:tc>
          <w:tcPr>
            <w:tcW w:w="1092" w:type="dxa"/>
            <w:tcBorders>
              <w:top w:val="single" w:sz="4" w:space="0" w:color="auto"/>
            </w:tcBorders>
          </w:tcPr>
          <w:p w14:paraId="19022E03" w14:textId="7AF4E576" w:rsidR="00AF4B0C" w:rsidRPr="00435C2F" w:rsidRDefault="00AF4B0C" w:rsidP="00AF4B0C">
            <w:pPr>
              <w:autoSpaceDE w:val="0"/>
              <w:autoSpaceDN w:val="0"/>
              <w:adjustRightInd w:val="0"/>
              <w:spacing w:after="0"/>
              <w:rPr>
                <w:sz w:val="22"/>
              </w:rPr>
            </w:pPr>
            <w:r w:rsidRPr="00435C2F">
              <w:rPr>
                <w:sz w:val="22"/>
              </w:rPr>
              <w:t>130%</w:t>
            </w:r>
          </w:p>
        </w:tc>
        <w:tc>
          <w:tcPr>
            <w:tcW w:w="1072" w:type="dxa"/>
            <w:tcBorders>
              <w:top w:val="single" w:sz="4" w:space="0" w:color="auto"/>
              <w:left w:val="nil"/>
              <w:right w:val="single" w:sz="4" w:space="0" w:color="auto"/>
            </w:tcBorders>
          </w:tcPr>
          <w:p w14:paraId="03ABDE85" w14:textId="2013D043" w:rsidR="00AF4B0C" w:rsidRPr="00435C2F" w:rsidRDefault="00AF4B0C" w:rsidP="00AF4B0C">
            <w:pPr>
              <w:spacing w:after="0"/>
              <w:rPr>
                <w:sz w:val="22"/>
              </w:rPr>
            </w:pPr>
            <w:r w:rsidRPr="00435C2F">
              <w:rPr>
                <w:sz w:val="22"/>
              </w:rPr>
              <w:t>135%</w:t>
            </w:r>
          </w:p>
        </w:tc>
      </w:tr>
      <w:tr w:rsidR="00AF4B0C" w:rsidRPr="00435C2F" w14:paraId="63970C5D" w14:textId="77777777" w:rsidTr="004B0D67">
        <w:tc>
          <w:tcPr>
            <w:tcW w:w="1341" w:type="dxa"/>
            <w:tcBorders>
              <w:left w:val="single" w:sz="4" w:space="0" w:color="auto"/>
              <w:bottom w:val="single" w:sz="4" w:space="0" w:color="auto"/>
            </w:tcBorders>
          </w:tcPr>
          <w:p w14:paraId="0B075719" w14:textId="761F8862" w:rsidR="00AF4B0C" w:rsidRPr="00435C2F" w:rsidRDefault="00AF4B0C" w:rsidP="00AF4B0C">
            <w:pPr>
              <w:autoSpaceDE w:val="0"/>
              <w:autoSpaceDN w:val="0"/>
              <w:adjustRightInd w:val="0"/>
              <w:spacing w:after="0"/>
              <w:rPr>
                <w:sz w:val="22"/>
              </w:rPr>
            </w:pPr>
            <w:r w:rsidRPr="00435C2F">
              <w:rPr>
                <w:sz w:val="22"/>
              </w:rPr>
              <w:t>GCL, DWR.</w:t>
            </w:r>
          </w:p>
        </w:tc>
        <w:tc>
          <w:tcPr>
            <w:tcW w:w="1823" w:type="dxa"/>
            <w:tcBorders>
              <w:bottom w:val="single" w:sz="4" w:space="0" w:color="auto"/>
            </w:tcBorders>
          </w:tcPr>
          <w:p w14:paraId="33A50A69" w14:textId="294E1F5B" w:rsidR="00AF4B0C" w:rsidRPr="00435C2F" w:rsidRDefault="00AF4B0C" w:rsidP="00AF4B0C">
            <w:pPr>
              <w:autoSpaceDE w:val="0"/>
              <w:autoSpaceDN w:val="0"/>
              <w:adjustRightInd w:val="0"/>
              <w:spacing w:after="0"/>
              <w:rPr>
                <w:sz w:val="22"/>
              </w:rPr>
            </w:pPr>
            <w:r w:rsidRPr="00435C2F">
              <w:rPr>
                <w:sz w:val="22"/>
              </w:rPr>
              <w:t>110%</w:t>
            </w:r>
            <w:r>
              <w:rPr>
                <w:sz w:val="22"/>
              </w:rPr>
              <w:t xml:space="preserve"> Gas Cap</w:t>
            </w:r>
          </w:p>
        </w:tc>
        <w:tc>
          <w:tcPr>
            <w:tcW w:w="985" w:type="dxa"/>
            <w:tcBorders>
              <w:bottom w:val="single" w:sz="4" w:space="0" w:color="auto"/>
            </w:tcBorders>
          </w:tcPr>
          <w:p w14:paraId="5D8D3E0D" w14:textId="77777777" w:rsidR="00AF4B0C" w:rsidRPr="00435C2F" w:rsidRDefault="00AF4B0C" w:rsidP="00AF4B0C">
            <w:pPr>
              <w:autoSpaceDE w:val="0"/>
              <w:autoSpaceDN w:val="0"/>
              <w:adjustRightInd w:val="0"/>
              <w:spacing w:after="0"/>
              <w:rPr>
                <w:sz w:val="22"/>
              </w:rPr>
            </w:pPr>
            <w:r w:rsidRPr="00435C2F">
              <w:rPr>
                <w:sz w:val="22"/>
              </w:rPr>
              <w:t>115%</w:t>
            </w:r>
          </w:p>
        </w:tc>
        <w:tc>
          <w:tcPr>
            <w:tcW w:w="1012" w:type="dxa"/>
            <w:tcBorders>
              <w:bottom w:val="single" w:sz="4" w:space="0" w:color="auto"/>
            </w:tcBorders>
          </w:tcPr>
          <w:p w14:paraId="0E9265BF" w14:textId="32BFFE7B" w:rsidR="00AF4B0C" w:rsidRPr="00435C2F" w:rsidRDefault="00AF4B0C" w:rsidP="00AF4B0C">
            <w:pPr>
              <w:autoSpaceDE w:val="0"/>
              <w:autoSpaceDN w:val="0"/>
              <w:adjustRightInd w:val="0"/>
              <w:spacing w:after="0"/>
              <w:rPr>
                <w:sz w:val="22"/>
              </w:rPr>
            </w:pPr>
            <w:r w:rsidRPr="00435C2F">
              <w:rPr>
                <w:sz w:val="22"/>
              </w:rPr>
              <w:t>120%</w:t>
            </w:r>
          </w:p>
        </w:tc>
        <w:tc>
          <w:tcPr>
            <w:tcW w:w="1069" w:type="dxa"/>
            <w:tcBorders>
              <w:bottom w:val="single" w:sz="4" w:space="0" w:color="auto"/>
            </w:tcBorders>
          </w:tcPr>
          <w:p w14:paraId="21560EE1" w14:textId="77777777" w:rsidR="00AF4B0C" w:rsidRPr="00435C2F" w:rsidRDefault="00AF4B0C" w:rsidP="00AF4B0C">
            <w:pPr>
              <w:autoSpaceDE w:val="0"/>
              <w:autoSpaceDN w:val="0"/>
              <w:adjustRightInd w:val="0"/>
              <w:spacing w:after="0"/>
              <w:rPr>
                <w:sz w:val="22"/>
              </w:rPr>
            </w:pPr>
            <w:r w:rsidRPr="00435C2F">
              <w:rPr>
                <w:sz w:val="22"/>
              </w:rPr>
              <w:t>122%</w:t>
            </w:r>
          </w:p>
        </w:tc>
        <w:tc>
          <w:tcPr>
            <w:tcW w:w="1069" w:type="dxa"/>
            <w:tcBorders>
              <w:bottom w:val="single" w:sz="4" w:space="0" w:color="auto"/>
            </w:tcBorders>
          </w:tcPr>
          <w:p w14:paraId="7D8593F1" w14:textId="77777777" w:rsidR="00AF4B0C" w:rsidRPr="00435C2F" w:rsidRDefault="00AF4B0C" w:rsidP="00AF4B0C">
            <w:pPr>
              <w:autoSpaceDE w:val="0"/>
              <w:autoSpaceDN w:val="0"/>
              <w:adjustRightInd w:val="0"/>
              <w:spacing w:after="0"/>
              <w:rPr>
                <w:sz w:val="22"/>
              </w:rPr>
            </w:pPr>
            <w:r w:rsidRPr="00435C2F">
              <w:rPr>
                <w:sz w:val="22"/>
              </w:rPr>
              <w:t>125%</w:t>
            </w:r>
          </w:p>
        </w:tc>
        <w:tc>
          <w:tcPr>
            <w:tcW w:w="1092" w:type="dxa"/>
            <w:tcBorders>
              <w:bottom w:val="single" w:sz="4" w:space="0" w:color="auto"/>
            </w:tcBorders>
          </w:tcPr>
          <w:p w14:paraId="08898C53" w14:textId="77777777" w:rsidR="00AF4B0C" w:rsidRPr="00435C2F" w:rsidRDefault="00AF4B0C" w:rsidP="00AF4B0C">
            <w:pPr>
              <w:autoSpaceDE w:val="0"/>
              <w:autoSpaceDN w:val="0"/>
              <w:adjustRightInd w:val="0"/>
              <w:spacing w:after="0"/>
              <w:rPr>
                <w:sz w:val="22"/>
              </w:rPr>
            </w:pPr>
            <w:r w:rsidRPr="00435C2F">
              <w:rPr>
                <w:sz w:val="22"/>
              </w:rPr>
              <w:t>130%</w:t>
            </w:r>
          </w:p>
        </w:tc>
        <w:tc>
          <w:tcPr>
            <w:tcW w:w="1072" w:type="dxa"/>
            <w:tcBorders>
              <w:left w:val="nil"/>
              <w:bottom w:val="single" w:sz="4" w:space="0" w:color="auto"/>
              <w:right w:val="single" w:sz="4" w:space="0" w:color="auto"/>
            </w:tcBorders>
          </w:tcPr>
          <w:p w14:paraId="1FD904BA" w14:textId="77777777" w:rsidR="00AF4B0C" w:rsidRPr="00435C2F" w:rsidRDefault="00AF4B0C" w:rsidP="00AF4B0C">
            <w:pPr>
              <w:spacing w:after="0"/>
            </w:pPr>
            <w:r w:rsidRPr="00435C2F">
              <w:rPr>
                <w:sz w:val="22"/>
              </w:rPr>
              <w:t>135%</w:t>
            </w:r>
          </w:p>
        </w:tc>
      </w:tr>
    </w:tbl>
    <w:p w14:paraId="75D6A0E7" w14:textId="028F3CE0" w:rsidR="00895C70" w:rsidRPr="00435C2F" w:rsidRDefault="00895C70" w:rsidP="001C2C53">
      <w:pPr>
        <w:spacing w:after="0"/>
      </w:pPr>
      <w:r w:rsidRPr="00435C2F">
        <w:rPr>
          <w:sz w:val="22"/>
        </w:rPr>
        <w:t xml:space="preserve">. </w:t>
      </w:r>
    </w:p>
    <w:p w14:paraId="45E7AB17" w14:textId="77777777" w:rsidR="00895C70" w:rsidRPr="00435C2F" w:rsidRDefault="00895C70" w:rsidP="00E46E76"/>
    <w:p w14:paraId="639B5DDB" w14:textId="77777777" w:rsidR="009F52BD" w:rsidRPr="00435C2F" w:rsidRDefault="009F52BD" w:rsidP="004511B3">
      <w:pPr>
        <w:pStyle w:val="Heading2"/>
        <w:numPr>
          <w:ilvl w:val="1"/>
          <w:numId w:val="2"/>
        </w:numPr>
      </w:pPr>
      <w:bookmarkStart w:id="22" w:name="_Toc36479882"/>
      <w:bookmarkStart w:id="23" w:name="_Toc65067933"/>
      <w:r w:rsidRPr="00435C2F">
        <w:t>Factors for Setting Spill Priority</w:t>
      </w:r>
      <w:bookmarkEnd w:id="22"/>
      <w:bookmarkEnd w:id="23"/>
    </w:p>
    <w:p w14:paraId="5A6C85DB" w14:textId="77777777" w:rsidR="009F52BD" w:rsidRPr="00435C2F" w:rsidRDefault="009F52BD" w:rsidP="00403D54">
      <w:pPr>
        <w:autoSpaceDE w:val="0"/>
        <w:autoSpaceDN w:val="0"/>
        <w:adjustRightInd w:val="0"/>
        <w:spacing w:after="0"/>
      </w:pPr>
    </w:p>
    <w:p w14:paraId="10580099" w14:textId="3160ADE6" w:rsidR="009F52BD" w:rsidRPr="00435C2F" w:rsidRDefault="009F52BD" w:rsidP="00403D54">
      <w:pPr>
        <w:autoSpaceDE w:val="0"/>
        <w:autoSpaceDN w:val="0"/>
        <w:adjustRightInd w:val="0"/>
        <w:spacing w:after="0"/>
      </w:pPr>
      <w:r w:rsidRPr="00435C2F">
        <w:t xml:space="preserve">When establishing the order dams will spill above </w:t>
      </w:r>
      <w:r w:rsidR="00114173">
        <w:t>planned spill for fish passage,</w:t>
      </w:r>
      <w:r w:rsidRPr="00435C2F">
        <w:t xml:space="preserve"> the following factors are considered:</w:t>
      </w:r>
    </w:p>
    <w:p w14:paraId="1B1B9F7D" w14:textId="77777777" w:rsidR="009F52BD" w:rsidRPr="00435C2F" w:rsidRDefault="009F52BD" w:rsidP="00403D54">
      <w:pPr>
        <w:pStyle w:val="Header"/>
        <w:tabs>
          <w:tab w:val="clear" w:pos="4320"/>
          <w:tab w:val="clear" w:pos="8640"/>
        </w:tabs>
        <w:spacing w:after="0"/>
      </w:pPr>
    </w:p>
    <w:p w14:paraId="0DC230D7" w14:textId="0D2DD244" w:rsidR="009F52BD" w:rsidRPr="00435C2F" w:rsidRDefault="009F52BD" w:rsidP="004511B3">
      <w:pPr>
        <w:pStyle w:val="Header"/>
        <w:numPr>
          <w:ilvl w:val="1"/>
          <w:numId w:val="3"/>
        </w:numPr>
        <w:tabs>
          <w:tab w:val="clear" w:pos="1440"/>
          <w:tab w:val="clear" w:pos="4320"/>
          <w:tab w:val="clear" w:pos="8640"/>
          <w:tab w:val="num" w:pos="720"/>
        </w:tabs>
        <w:spacing w:after="0"/>
        <w:ind w:left="720"/>
      </w:pPr>
      <w:r w:rsidRPr="00435C2F">
        <w:rPr>
          <w:u w:val="single"/>
        </w:rPr>
        <w:t>Location of Fish</w:t>
      </w:r>
      <w:r w:rsidRPr="00435C2F">
        <w:t>:  Location and number of adult and juvenile fish in the migratory corridor</w:t>
      </w:r>
      <w:r w:rsidR="001769F3" w:rsidRPr="00435C2F">
        <w:rPr>
          <w:rStyle w:val="FootnoteReference"/>
        </w:rPr>
        <w:footnoteReference w:id="6"/>
      </w:r>
      <w:r w:rsidRPr="00435C2F">
        <w:t xml:space="preserve">. </w:t>
      </w:r>
    </w:p>
    <w:p w14:paraId="6DD864F2" w14:textId="31E82244" w:rsidR="009F52BD" w:rsidRPr="00435C2F" w:rsidRDefault="009F52BD" w:rsidP="004511B3">
      <w:pPr>
        <w:pStyle w:val="Header"/>
        <w:numPr>
          <w:ilvl w:val="1"/>
          <w:numId w:val="3"/>
        </w:numPr>
        <w:tabs>
          <w:tab w:val="clear" w:pos="1440"/>
          <w:tab w:val="clear" w:pos="4320"/>
          <w:tab w:val="clear" w:pos="8640"/>
          <w:tab w:val="num" w:pos="720"/>
        </w:tabs>
        <w:spacing w:after="0"/>
        <w:ind w:left="720"/>
      </w:pPr>
      <w:r w:rsidRPr="00435C2F">
        <w:rPr>
          <w:u w:val="single"/>
        </w:rPr>
        <w:t>Location of High TDG</w:t>
      </w:r>
      <w:r w:rsidRPr="00435C2F">
        <w:t>:  When TDG levels are elevated (</w:t>
      </w:r>
      <w:r w:rsidR="004565AE">
        <w:t>greater than the water quality standard</w:t>
      </w:r>
      <w:r w:rsidRPr="00435C2F">
        <w:t>)</w:t>
      </w:r>
      <w:r w:rsidR="0022669D" w:rsidRPr="00435C2F">
        <w:t>,</w:t>
      </w:r>
      <w:r w:rsidRPr="00435C2F">
        <w:t xml:space="preserve"> dams may be shifted on the list to manage </w:t>
      </w:r>
      <w:proofErr w:type="gramStart"/>
      <w:r w:rsidRPr="00435C2F">
        <w:t>system-wide</w:t>
      </w:r>
      <w:proofErr w:type="gramEnd"/>
      <w:r w:rsidRPr="00435C2F">
        <w:t xml:space="preserve"> TDG levels.</w:t>
      </w:r>
    </w:p>
    <w:p w14:paraId="21A584A3" w14:textId="77777777" w:rsidR="009F52BD" w:rsidRPr="00435C2F" w:rsidRDefault="009F52BD" w:rsidP="004511B3">
      <w:pPr>
        <w:pStyle w:val="Header"/>
        <w:numPr>
          <w:ilvl w:val="1"/>
          <w:numId w:val="3"/>
        </w:numPr>
        <w:tabs>
          <w:tab w:val="clear" w:pos="1440"/>
          <w:tab w:val="clear" w:pos="4320"/>
          <w:tab w:val="clear" w:pos="8640"/>
          <w:tab w:val="num" w:pos="720"/>
        </w:tabs>
        <w:spacing w:after="0"/>
        <w:ind w:left="720"/>
      </w:pPr>
      <w:r w:rsidRPr="00435C2F">
        <w:rPr>
          <w:u w:val="single"/>
        </w:rPr>
        <w:t>Location of Fish Research</w:t>
      </w:r>
      <w:r w:rsidRPr="00435C2F">
        <w:t>:  When fish research is planned or in progress, those dams are low on the priority list to minimize detrimental impact to the studies.</w:t>
      </w:r>
    </w:p>
    <w:p w14:paraId="65DE2A45" w14:textId="77777777" w:rsidR="009F52BD" w:rsidRPr="00435C2F" w:rsidRDefault="009F52BD" w:rsidP="004511B3">
      <w:pPr>
        <w:pStyle w:val="Header"/>
        <w:numPr>
          <w:ilvl w:val="1"/>
          <w:numId w:val="3"/>
        </w:numPr>
        <w:tabs>
          <w:tab w:val="clear" w:pos="1440"/>
          <w:tab w:val="clear" w:pos="4320"/>
          <w:tab w:val="clear" w:pos="8640"/>
          <w:tab w:val="num" w:pos="720"/>
        </w:tabs>
        <w:spacing w:after="0"/>
        <w:ind w:left="720"/>
      </w:pPr>
      <w:r w:rsidRPr="00435C2F">
        <w:rPr>
          <w:u w:val="single"/>
        </w:rPr>
        <w:t>River Reaches</w:t>
      </w:r>
      <w:r w:rsidRPr="00435C2F">
        <w:t xml:space="preserve">:  Dams are considered in one of three blocks: the lower Snake River, the lower Columbia River, and the middle Columbia River.  For example, if several of the lower Snake dams need to be moved to a lower priority on the </w:t>
      </w:r>
      <w:r w:rsidR="00E82F1A" w:rsidRPr="00435C2F">
        <w:t>S</w:t>
      </w:r>
      <w:r w:rsidRPr="00435C2F">
        <w:t xml:space="preserve">pill </w:t>
      </w:r>
      <w:r w:rsidR="00E82F1A" w:rsidRPr="00435C2F">
        <w:t>P</w:t>
      </w:r>
      <w:r w:rsidRPr="00435C2F">
        <w:t xml:space="preserve">riority </w:t>
      </w:r>
      <w:r w:rsidR="00E82F1A" w:rsidRPr="00435C2F">
        <w:t>L</w:t>
      </w:r>
      <w:r w:rsidRPr="00435C2F">
        <w:t xml:space="preserve">ist, then the </w:t>
      </w:r>
      <w:r w:rsidRPr="00435C2F">
        <w:lastRenderedPageBreak/>
        <w:t>whole block of dams (Lower Granite, Little Goose, Lower Monumental and Ice Harbor dams) may be moved to last position on the list.</w:t>
      </w:r>
    </w:p>
    <w:p w14:paraId="170876BB" w14:textId="77777777" w:rsidR="009F52BD" w:rsidRPr="00435C2F" w:rsidRDefault="009F52BD" w:rsidP="004511B3">
      <w:pPr>
        <w:pStyle w:val="Header"/>
        <w:numPr>
          <w:ilvl w:val="1"/>
          <w:numId w:val="3"/>
        </w:numPr>
        <w:tabs>
          <w:tab w:val="clear" w:pos="1440"/>
          <w:tab w:val="clear" w:pos="4320"/>
          <w:tab w:val="clear" w:pos="8640"/>
          <w:tab w:val="num" w:pos="720"/>
        </w:tabs>
        <w:spacing w:after="0"/>
        <w:ind w:left="720"/>
      </w:pPr>
      <w:r w:rsidRPr="00435C2F">
        <w:rPr>
          <w:u w:val="single"/>
        </w:rPr>
        <w:t>Special Operations</w:t>
      </w:r>
      <w:r w:rsidRPr="00435C2F">
        <w:t>:  Dams with special operations such as construction, maintenance or repair are placed last on priority list.</w:t>
      </w:r>
    </w:p>
    <w:p w14:paraId="3ABF995C" w14:textId="5F4E4242" w:rsidR="009F52BD" w:rsidRPr="00435C2F" w:rsidRDefault="009F52BD" w:rsidP="004511B3">
      <w:pPr>
        <w:pStyle w:val="Header"/>
        <w:numPr>
          <w:ilvl w:val="1"/>
          <w:numId w:val="3"/>
        </w:numPr>
        <w:tabs>
          <w:tab w:val="clear" w:pos="1440"/>
          <w:tab w:val="clear" w:pos="4320"/>
          <w:tab w:val="clear" w:pos="8640"/>
          <w:tab w:val="num" w:pos="720"/>
        </w:tabs>
        <w:spacing w:after="0"/>
        <w:ind w:left="720"/>
      </w:pPr>
      <w:r w:rsidRPr="00435C2F">
        <w:rPr>
          <w:u w:val="single"/>
        </w:rPr>
        <w:t>Collector Dams</w:t>
      </w:r>
      <w:r w:rsidRPr="00435C2F">
        <w:t>:  During low flow years, the dams</w:t>
      </w:r>
      <w:r w:rsidR="00E25247" w:rsidRPr="00435C2F">
        <w:t xml:space="preserve"> where fish </w:t>
      </w:r>
      <w:r w:rsidR="007C0CA5">
        <w:t xml:space="preserve">are collected for </w:t>
      </w:r>
      <w:r w:rsidR="00E25247" w:rsidRPr="00435C2F">
        <w:t>transport occurs</w:t>
      </w:r>
      <w:r w:rsidRPr="00435C2F">
        <w:t xml:space="preserve"> (Lower Granite, Little Goose, </w:t>
      </w:r>
      <w:r w:rsidR="007C0CA5">
        <w:t xml:space="preserve">and </w:t>
      </w:r>
      <w:r w:rsidRPr="00435C2F">
        <w:t xml:space="preserve">Lower Monumental dams) </w:t>
      </w:r>
      <w:r w:rsidR="00DA5D12">
        <w:t>may be</w:t>
      </w:r>
      <w:r w:rsidR="00DA5D12" w:rsidRPr="00435C2F">
        <w:t xml:space="preserve"> </w:t>
      </w:r>
      <w:r w:rsidRPr="00435C2F">
        <w:t>placed low</w:t>
      </w:r>
      <w:r w:rsidR="00DA5D12">
        <w:t>er</w:t>
      </w:r>
      <w:r w:rsidRPr="00435C2F">
        <w:t xml:space="preserve"> on the priority list.</w:t>
      </w:r>
    </w:p>
    <w:p w14:paraId="636B2574" w14:textId="77777777" w:rsidR="009F52BD" w:rsidRPr="00435C2F" w:rsidRDefault="009F52BD" w:rsidP="004511B3">
      <w:pPr>
        <w:pStyle w:val="Header"/>
        <w:numPr>
          <w:ilvl w:val="1"/>
          <w:numId w:val="3"/>
        </w:numPr>
        <w:tabs>
          <w:tab w:val="clear" w:pos="1440"/>
          <w:tab w:val="clear" w:pos="4320"/>
          <w:tab w:val="clear" w:pos="8640"/>
          <w:tab w:val="num" w:pos="720"/>
        </w:tabs>
        <w:spacing w:after="0"/>
        <w:ind w:left="720"/>
      </w:pPr>
      <w:r w:rsidRPr="00435C2F">
        <w:rPr>
          <w:u w:val="single"/>
        </w:rPr>
        <w:t>Special Fish Conditions</w:t>
      </w:r>
      <w:r w:rsidRPr="00435C2F">
        <w:t>:  If there are special fish conditions, such as disease or a special release, the dam may be moved higher or lower on the priority list depending on circumstances.</w:t>
      </w:r>
    </w:p>
    <w:p w14:paraId="2088B47A" w14:textId="2CF8EF78" w:rsidR="009F52BD" w:rsidRPr="00435C2F" w:rsidRDefault="009F52BD" w:rsidP="004511B3">
      <w:pPr>
        <w:pStyle w:val="Header"/>
        <w:numPr>
          <w:ilvl w:val="1"/>
          <w:numId w:val="3"/>
        </w:numPr>
        <w:tabs>
          <w:tab w:val="clear" w:pos="1440"/>
          <w:tab w:val="clear" w:pos="4320"/>
          <w:tab w:val="clear" w:pos="8640"/>
          <w:tab w:val="num" w:pos="720"/>
        </w:tabs>
        <w:spacing w:after="0"/>
        <w:ind w:left="720"/>
      </w:pPr>
      <w:r w:rsidRPr="00435C2F">
        <w:rPr>
          <w:u w:val="single"/>
        </w:rPr>
        <w:t>System-wide TDG management</w:t>
      </w:r>
      <w:r w:rsidRPr="00435C2F">
        <w:t>:  Grand Coulee, Chief Joseph, Dworshak</w:t>
      </w:r>
      <w:r w:rsidR="0039607A" w:rsidRPr="00435C2F">
        <w:t xml:space="preserve"> </w:t>
      </w:r>
      <w:r w:rsidRPr="00435C2F">
        <w:t xml:space="preserve">and other projects are included on the </w:t>
      </w:r>
      <w:r w:rsidR="00E82F1A" w:rsidRPr="00435C2F">
        <w:t>S</w:t>
      </w:r>
      <w:r w:rsidRPr="00435C2F">
        <w:t xml:space="preserve">pill </w:t>
      </w:r>
      <w:r w:rsidR="00E82F1A" w:rsidRPr="00435C2F">
        <w:t>P</w:t>
      </w:r>
      <w:r w:rsidRPr="00435C2F">
        <w:t xml:space="preserve">riority </w:t>
      </w:r>
      <w:r w:rsidR="00E82F1A" w:rsidRPr="00435C2F">
        <w:t>L</w:t>
      </w:r>
      <w:r w:rsidRPr="00435C2F">
        <w:t xml:space="preserve">ist to help balance system-wide TDG levels during periods of </w:t>
      </w:r>
      <w:r w:rsidR="00E25247" w:rsidRPr="00435C2F">
        <w:t>lack of load</w:t>
      </w:r>
      <w:r w:rsidRPr="00435C2F">
        <w:t xml:space="preserve"> spill. </w:t>
      </w:r>
    </w:p>
    <w:p w14:paraId="37805DEC" w14:textId="77777777" w:rsidR="009F52BD" w:rsidRPr="00435C2F" w:rsidRDefault="009F52BD" w:rsidP="009A6257">
      <w:pPr>
        <w:spacing w:after="0"/>
        <w:ind w:left="360" w:hanging="360"/>
      </w:pPr>
      <w:bookmarkStart w:id="24" w:name="_Toc340664820"/>
      <w:bookmarkStart w:id="25" w:name="_Toc340733974"/>
      <w:bookmarkEnd w:id="24"/>
      <w:bookmarkEnd w:id="25"/>
    </w:p>
    <w:p w14:paraId="52A00A03" w14:textId="77777777" w:rsidR="0036043C" w:rsidRPr="00435C2F" w:rsidRDefault="009F52BD" w:rsidP="001B0EA5">
      <w:pPr>
        <w:pStyle w:val="Heading1"/>
      </w:pPr>
      <w:bookmarkStart w:id="26" w:name="_Toc36479883"/>
      <w:bookmarkStart w:id="27" w:name="_Toc65067934"/>
      <w:bookmarkStart w:id="28" w:name="_Toc241986496"/>
      <w:bookmarkStart w:id="29" w:name="_Toc242085149"/>
      <w:bookmarkStart w:id="30" w:name="_Toc242232490"/>
      <w:r w:rsidRPr="00435C2F">
        <w:t>TDG Management</w:t>
      </w:r>
      <w:r w:rsidR="00846A40" w:rsidRPr="00435C2F">
        <w:t xml:space="preserve"> Policy, Guidance and Considerations</w:t>
      </w:r>
      <w:bookmarkEnd w:id="26"/>
      <w:bookmarkEnd w:id="27"/>
      <w:r w:rsidRPr="00435C2F">
        <w:t xml:space="preserve"> </w:t>
      </w:r>
      <w:bookmarkEnd w:id="28"/>
      <w:bookmarkEnd w:id="29"/>
      <w:bookmarkEnd w:id="30"/>
    </w:p>
    <w:p w14:paraId="60AD08C7" w14:textId="6507922D" w:rsidR="009F52BD" w:rsidRPr="00435C2F" w:rsidRDefault="009F52BD" w:rsidP="00473EB5">
      <w:pPr>
        <w:pStyle w:val="ListParagraph"/>
        <w:tabs>
          <w:tab w:val="left" w:pos="0"/>
        </w:tabs>
        <w:spacing w:after="60"/>
        <w:ind w:left="0"/>
      </w:pPr>
      <w:r w:rsidRPr="00435C2F">
        <w:t xml:space="preserve">The Corps will consider water quality effects along with the results of spill studies, biological evaluations, </w:t>
      </w:r>
      <w:r w:rsidR="00846A40" w:rsidRPr="00435C2F">
        <w:t>and the</w:t>
      </w:r>
      <w:r w:rsidRPr="00435C2F">
        <w:t xml:space="preserve"> relationship to achieving performance standards and incorporate the following TDG management policies in its decision making:</w:t>
      </w:r>
    </w:p>
    <w:p w14:paraId="6936A583" w14:textId="77777777" w:rsidR="009F52BD" w:rsidRPr="00435C2F" w:rsidRDefault="009F52BD" w:rsidP="00EB5A6B">
      <w:pPr>
        <w:spacing w:after="0"/>
        <w:ind w:left="360"/>
      </w:pPr>
      <w:r w:rsidRPr="00435C2F">
        <w:t xml:space="preserve"> </w:t>
      </w:r>
    </w:p>
    <w:p w14:paraId="70789004" w14:textId="77777777" w:rsidR="009F52BD" w:rsidRPr="00435C2F" w:rsidRDefault="009F52BD" w:rsidP="004511B3">
      <w:pPr>
        <w:pStyle w:val="ListParagraph"/>
        <w:numPr>
          <w:ilvl w:val="0"/>
          <w:numId w:val="5"/>
        </w:numPr>
        <w:spacing w:after="0"/>
      </w:pPr>
      <w:r w:rsidRPr="00435C2F">
        <w:t xml:space="preserve">Manage dam operations to the extent practical in accordance with CWA and state water quality standards, modified through </w:t>
      </w:r>
      <w:r w:rsidR="00A97DC5" w:rsidRPr="00435C2F">
        <w:t>standard</w:t>
      </w:r>
      <w:r w:rsidR="002E75A3" w:rsidRPr="00435C2F">
        <w:t xml:space="preserve"> modifications </w:t>
      </w:r>
      <w:r w:rsidRPr="00435C2F">
        <w:t>and rule adjustments.</w:t>
      </w:r>
    </w:p>
    <w:p w14:paraId="5C39EC34" w14:textId="390D1533" w:rsidR="009F52BD" w:rsidRPr="00435C2F" w:rsidRDefault="009F52BD" w:rsidP="004511B3">
      <w:pPr>
        <w:pStyle w:val="ListParagraph"/>
        <w:numPr>
          <w:ilvl w:val="0"/>
          <w:numId w:val="5"/>
        </w:numPr>
        <w:spacing w:after="0"/>
      </w:pPr>
      <w:r w:rsidRPr="00435C2F">
        <w:t xml:space="preserve">Provide </w:t>
      </w:r>
      <w:r w:rsidR="0032056E">
        <w:t>fish passage</w:t>
      </w:r>
      <w:r w:rsidR="0032056E" w:rsidRPr="00435C2F">
        <w:t xml:space="preserve"> </w:t>
      </w:r>
      <w:r w:rsidRPr="00435C2F">
        <w:t xml:space="preserve">spill consistent with applicable biological opinion requirements while avoiding high TDG levels or adult fallback problems.  Specific spill levels will be provided for fish passage at each dam </w:t>
      </w:r>
      <w:r w:rsidR="003B5BD2" w:rsidRPr="00435C2F">
        <w:t xml:space="preserve">in accordance with the </w:t>
      </w:r>
      <w:r w:rsidR="00F63EE5">
        <w:t>current FOP</w:t>
      </w:r>
      <w:r w:rsidR="00067AC9">
        <w:t>,</w:t>
      </w:r>
      <w:r w:rsidR="00F63EE5">
        <w:t xml:space="preserve"> </w:t>
      </w:r>
      <w:r w:rsidRPr="00435C2F">
        <w:t xml:space="preserve">consistent with </w:t>
      </w:r>
      <w:r w:rsidR="00326934" w:rsidRPr="00435C2F">
        <w:t xml:space="preserve">the </w:t>
      </w:r>
      <w:r w:rsidRPr="00435C2F">
        <w:t xml:space="preserve">applicable State TDG </w:t>
      </w:r>
      <w:r w:rsidR="00F1432F" w:rsidRPr="00435C2F">
        <w:t>WQS</w:t>
      </w:r>
      <w:r w:rsidRPr="00435C2F">
        <w:t>.</w:t>
      </w:r>
    </w:p>
    <w:p w14:paraId="35275F62" w14:textId="77777777" w:rsidR="009F52BD" w:rsidRPr="00435C2F" w:rsidRDefault="009F52BD" w:rsidP="004511B3">
      <w:pPr>
        <w:pStyle w:val="ListParagraph"/>
        <w:numPr>
          <w:ilvl w:val="0"/>
          <w:numId w:val="5"/>
        </w:numPr>
        <w:spacing w:after="0"/>
      </w:pPr>
      <w:r w:rsidRPr="00435C2F">
        <w:t>Operate dams to the authorized project purposes.</w:t>
      </w:r>
    </w:p>
    <w:p w14:paraId="4282F9EF" w14:textId="5E1945F7" w:rsidR="009F52BD" w:rsidRPr="00435C2F" w:rsidRDefault="009F52BD" w:rsidP="004511B3">
      <w:pPr>
        <w:pStyle w:val="ListParagraph"/>
        <w:numPr>
          <w:ilvl w:val="0"/>
          <w:numId w:val="5"/>
        </w:numPr>
        <w:spacing w:after="0"/>
      </w:pPr>
      <w:r w:rsidRPr="00435C2F">
        <w:t>Regulate flows to maximize potential for</w:t>
      </w:r>
      <w:r w:rsidR="00CB0469">
        <w:t xml:space="preserve"> </w:t>
      </w:r>
      <w:r w:rsidRPr="00435C2F">
        <w:t>fish passage spill.</w:t>
      </w:r>
    </w:p>
    <w:p w14:paraId="35BB1CAB" w14:textId="0A9DF47E" w:rsidR="009F52BD" w:rsidRPr="00435C2F" w:rsidRDefault="009F52BD" w:rsidP="004511B3">
      <w:pPr>
        <w:pStyle w:val="ListParagraph"/>
        <w:numPr>
          <w:ilvl w:val="0"/>
          <w:numId w:val="5"/>
        </w:numPr>
        <w:spacing w:after="0"/>
      </w:pPr>
      <w:r w:rsidRPr="00435C2F">
        <w:t xml:space="preserve">Discontinue or </w:t>
      </w:r>
      <w:r w:rsidR="00146437">
        <w:t>reschedule</w:t>
      </w:r>
      <w:r w:rsidR="00146437" w:rsidRPr="00435C2F">
        <w:t xml:space="preserve"> </w:t>
      </w:r>
      <w:r w:rsidRPr="00435C2F">
        <w:t>non-critical unit service and maintenance schedules that create (or have potential for creating) high localized TDG levels, especially when and where high numbers of listed fish are present.</w:t>
      </w:r>
    </w:p>
    <w:p w14:paraId="6647939A" w14:textId="77777777" w:rsidR="009F52BD" w:rsidRPr="00435C2F" w:rsidRDefault="009F52BD" w:rsidP="004511B3">
      <w:pPr>
        <w:pStyle w:val="ListParagraph"/>
        <w:numPr>
          <w:ilvl w:val="0"/>
          <w:numId w:val="5"/>
        </w:numPr>
        <w:spacing w:after="0"/>
      </w:pPr>
      <w:r w:rsidRPr="00435C2F">
        <w:t>Accommodate special spill requirements/restrictions for research, adult passage, etc. that have been coordinated with the TMT.</w:t>
      </w:r>
    </w:p>
    <w:p w14:paraId="62F65FB9" w14:textId="259F54DF" w:rsidR="009F52BD" w:rsidRPr="00435C2F" w:rsidRDefault="009F52BD" w:rsidP="004511B3">
      <w:pPr>
        <w:pStyle w:val="ListParagraph"/>
        <w:numPr>
          <w:ilvl w:val="0"/>
          <w:numId w:val="5"/>
        </w:numPr>
        <w:spacing w:after="0"/>
      </w:pPr>
      <w:r w:rsidRPr="00435C2F">
        <w:t xml:space="preserve">Manage the system in coordination with Reclamation and BPA to avoid </w:t>
      </w:r>
      <w:r w:rsidR="004A4FD7">
        <w:t>forced</w:t>
      </w:r>
      <w:r w:rsidR="004A4FD7" w:rsidRPr="00435C2F">
        <w:t xml:space="preserve"> </w:t>
      </w:r>
      <w:r w:rsidRPr="00435C2F">
        <w:t xml:space="preserve">spill and minimize TDG production when possible, without jeopardizing flood </w:t>
      </w:r>
      <w:r w:rsidR="005146EB" w:rsidRPr="00435C2F">
        <w:t xml:space="preserve">risk management </w:t>
      </w:r>
      <w:r w:rsidRPr="00435C2F">
        <w:t>objectives.</w:t>
      </w:r>
    </w:p>
    <w:p w14:paraId="20C321D0" w14:textId="45F32031" w:rsidR="009F52BD" w:rsidRPr="00435C2F" w:rsidRDefault="009F52BD" w:rsidP="004511B3">
      <w:pPr>
        <w:pStyle w:val="ListParagraph"/>
        <w:numPr>
          <w:ilvl w:val="0"/>
          <w:numId w:val="5"/>
        </w:numPr>
        <w:spacing w:after="0"/>
      </w:pPr>
      <w:r w:rsidRPr="00435C2F">
        <w:t xml:space="preserve">Implement the </w:t>
      </w:r>
      <w:r w:rsidR="00E82F1A" w:rsidRPr="00435C2F">
        <w:t>S</w:t>
      </w:r>
      <w:r w:rsidRPr="00435C2F">
        <w:t xml:space="preserve">pill </w:t>
      </w:r>
      <w:r w:rsidR="00E82F1A" w:rsidRPr="00435C2F">
        <w:t>P</w:t>
      </w:r>
      <w:r w:rsidRPr="00435C2F">
        <w:t xml:space="preserve">riority </w:t>
      </w:r>
      <w:r w:rsidR="00E82F1A" w:rsidRPr="00435C2F">
        <w:t>L</w:t>
      </w:r>
      <w:r w:rsidRPr="00435C2F">
        <w:t xml:space="preserve">ist discussed in Section </w:t>
      </w:r>
      <w:r w:rsidR="001B62D8">
        <w:t>4.0</w:t>
      </w:r>
      <w:r w:rsidRPr="00435C2F">
        <w:t xml:space="preserve">. </w:t>
      </w:r>
    </w:p>
    <w:p w14:paraId="78F4E7B9" w14:textId="1B26C966" w:rsidR="00467792" w:rsidRPr="00435C2F" w:rsidRDefault="00467792" w:rsidP="00F62555">
      <w:pPr>
        <w:pStyle w:val="ListParagraph"/>
        <w:numPr>
          <w:ilvl w:val="0"/>
          <w:numId w:val="5"/>
        </w:numPr>
        <w:spacing w:after="0"/>
      </w:pPr>
      <w:r w:rsidRPr="00435C2F">
        <w:t>Chief Joseph Dam is not included in the Washington TDG criteria adjustment</w:t>
      </w:r>
      <w:r w:rsidR="006830B7">
        <w:t>,</w:t>
      </w:r>
      <w:r w:rsidR="00C16ED7" w:rsidRPr="00435C2F">
        <w:t xml:space="preserve"> but</w:t>
      </w:r>
      <w:r w:rsidRPr="00435C2F">
        <w:t xml:space="preserve"> </w:t>
      </w:r>
      <w:r w:rsidR="00C16ED7" w:rsidRPr="00435C2F">
        <w:t xml:space="preserve">it is used for managing system TDG </w:t>
      </w:r>
      <w:r w:rsidR="003F0B3A" w:rsidRPr="00435C2F">
        <w:t xml:space="preserve">during periods of </w:t>
      </w:r>
      <w:r w:rsidR="004A4FD7">
        <w:t>forced</w:t>
      </w:r>
      <w:r w:rsidR="004A4FD7" w:rsidRPr="00435C2F">
        <w:t xml:space="preserve"> </w:t>
      </w:r>
      <w:r w:rsidR="003F0B3A" w:rsidRPr="00435C2F">
        <w:t>spill</w:t>
      </w:r>
      <w:r w:rsidR="00C16ED7" w:rsidRPr="00435C2F">
        <w:t xml:space="preserve">.  </w:t>
      </w:r>
      <w:r w:rsidR="008844B4">
        <w:t xml:space="preserve">Chief Joseph Dam has very effective flow deflectors, so TDG due to spill rarely exceeds 120% TDG.  Therefore, it is </w:t>
      </w:r>
      <w:r w:rsidR="00DB7CB5">
        <w:t xml:space="preserve">used as </w:t>
      </w:r>
      <w:r w:rsidR="008844B4">
        <w:t>a tool for reducing higher TDG coming from Grand Coulee</w:t>
      </w:r>
      <w:r w:rsidR="00DB7CB5">
        <w:t xml:space="preserve"> and is an effective location to spill to </w:t>
      </w:r>
      <w:r w:rsidR="0032056E">
        <w:t xml:space="preserve">meet contingency </w:t>
      </w:r>
      <w:r w:rsidR="008844B4">
        <w:t xml:space="preserve">reserves </w:t>
      </w:r>
      <w:r w:rsidR="0032056E">
        <w:t xml:space="preserve">needs </w:t>
      </w:r>
      <w:r w:rsidR="008844B4">
        <w:t xml:space="preserve">or </w:t>
      </w:r>
      <w:r w:rsidR="0032056E">
        <w:t xml:space="preserve">due to </w:t>
      </w:r>
      <w:r w:rsidR="008844B4">
        <w:t>lack of load</w:t>
      </w:r>
      <w:r w:rsidR="0032056E">
        <w:t xml:space="preserve"> conditions</w:t>
      </w:r>
      <w:r w:rsidR="008844B4">
        <w:t xml:space="preserve">.  </w:t>
      </w:r>
      <w:bookmarkStart w:id="31" w:name="_Hlk65137220"/>
      <w:r w:rsidR="00F62555" w:rsidRPr="00F62555">
        <w:t xml:space="preserve">When the </w:t>
      </w:r>
      <w:r w:rsidR="00F62555">
        <w:t xml:space="preserve">Chief Joseph Dam </w:t>
      </w:r>
      <w:r w:rsidR="00F62555" w:rsidRPr="00F62555">
        <w:t xml:space="preserve">forebay and tailrace both exceed 110% TDG and project spill results in lower TDG in the tailrace than in the upstream forebay, it is appropriate to raise the Level 1 spill cap to provide lower TDG downstream. </w:t>
      </w:r>
      <w:r w:rsidR="00F63EE5" w:rsidRPr="00F62555">
        <w:t xml:space="preserve">In these </w:t>
      </w:r>
      <w:r w:rsidR="00F63EE5" w:rsidRPr="00F62555">
        <w:lastRenderedPageBreak/>
        <w:t>events, Level 1 no longer represents the 110% gas cap, but degassing at the project will result in lower downstream TDG than would have otherwise occurred</w:t>
      </w:r>
      <w:bookmarkEnd w:id="31"/>
      <w:r w:rsidR="00BD79B4" w:rsidRPr="00435C2F">
        <w:t>.</w:t>
      </w:r>
      <w:r w:rsidR="00B6163F" w:rsidRPr="00435C2F">
        <w:t xml:space="preserve">  </w:t>
      </w:r>
    </w:p>
    <w:p w14:paraId="666AA921" w14:textId="77777777" w:rsidR="009F52BD" w:rsidRPr="00435C2F" w:rsidRDefault="009F52BD" w:rsidP="00CF358C">
      <w:pPr>
        <w:spacing w:after="0"/>
      </w:pPr>
    </w:p>
    <w:p w14:paraId="24E739D2" w14:textId="71B72350" w:rsidR="009F52BD" w:rsidRPr="00435C2F" w:rsidRDefault="009F52BD" w:rsidP="00CF358C">
      <w:pPr>
        <w:spacing w:after="0"/>
      </w:pPr>
      <w:r w:rsidRPr="00435C2F">
        <w:t xml:space="preserve">The Corps will continue to coordinate with the States of Oregon and Washington on </w:t>
      </w:r>
      <w:r w:rsidR="00F63EE5">
        <w:t xml:space="preserve">planned </w:t>
      </w:r>
      <w:r w:rsidRPr="00435C2F">
        <w:t>fish passage</w:t>
      </w:r>
      <w:r w:rsidR="00515CA6" w:rsidRPr="00435C2F">
        <w:t xml:space="preserve"> spill</w:t>
      </w:r>
      <w:r w:rsidR="008F6666" w:rsidRPr="00435C2F">
        <w:t>,</w:t>
      </w:r>
      <w:r w:rsidR="00515CA6" w:rsidRPr="00435C2F">
        <w:rPr>
          <w:rStyle w:val="FootnoteReference"/>
        </w:rPr>
        <w:footnoteReference w:id="7"/>
      </w:r>
      <w:r w:rsidRPr="00435C2F">
        <w:t xml:space="preserve"> and provide technical information to inform the process.  Future spill operations may be modified through the implementation planning process and adaptive management. </w:t>
      </w:r>
    </w:p>
    <w:p w14:paraId="55A1F72B" w14:textId="77777777" w:rsidR="009F52BD" w:rsidRPr="00435C2F" w:rsidRDefault="009F52BD" w:rsidP="00CF358C">
      <w:pPr>
        <w:spacing w:after="0"/>
      </w:pPr>
      <w:r w:rsidRPr="00435C2F">
        <w:t xml:space="preserve"> </w:t>
      </w:r>
    </w:p>
    <w:p w14:paraId="41940A35" w14:textId="77777777" w:rsidR="0036043C" w:rsidRPr="00435C2F" w:rsidRDefault="009F52BD" w:rsidP="006745C7">
      <w:pPr>
        <w:pStyle w:val="Heading1"/>
      </w:pPr>
      <w:bookmarkStart w:id="32" w:name="_Toc241986497"/>
      <w:bookmarkStart w:id="33" w:name="_Toc242085150"/>
      <w:bookmarkStart w:id="34" w:name="_Toc242232491"/>
      <w:bookmarkStart w:id="35" w:name="_Toc36479884"/>
      <w:bookmarkStart w:id="36" w:name="_Toc65067935"/>
      <w:r w:rsidRPr="00435C2F">
        <w:t>TDG Monitoring Program</w:t>
      </w:r>
      <w:bookmarkEnd w:id="32"/>
      <w:bookmarkEnd w:id="33"/>
      <w:bookmarkEnd w:id="34"/>
      <w:bookmarkEnd w:id="35"/>
      <w:bookmarkEnd w:id="36"/>
    </w:p>
    <w:p w14:paraId="67586812" w14:textId="77777777" w:rsidR="009F52BD" w:rsidRPr="00435C2F" w:rsidRDefault="009F52BD" w:rsidP="00643B67">
      <w:pPr>
        <w:spacing w:after="0"/>
      </w:pPr>
      <w:r w:rsidRPr="00435C2F">
        <w:t xml:space="preserve">The management of spill at each dam is based on TDG levels measured at specific forebay and tailwater </w:t>
      </w:r>
      <w:r w:rsidR="00630A48" w:rsidRPr="00435C2F">
        <w:t>fixed monitoring stations (</w:t>
      </w:r>
      <w:r w:rsidRPr="00435C2F">
        <w:t>FMS</w:t>
      </w:r>
      <w:r w:rsidR="00630A48" w:rsidRPr="00435C2F">
        <w:t>)</w:t>
      </w:r>
      <w:r w:rsidR="005E4DBC" w:rsidRPr="00435C2F">
        <w:t xml:space="preserve"> as appropriate</w:t>
      </w:r>
      <w:r w:rsidRPr="00435C2F">
        <w:t xml:space="preserve">.  The current locations of these gauges are based on extensive studies that have been conducted since 1996.  In support of the spill management program, a TDG monitoring program has been established and is described in the </w:t>
      </w:r>
      <w:r w:rsidR="00A3153B" w:rsidRPr="00435C2F">
        <w:t>TDG</w:t>
      </w:r>
      <w:r w:rsidRPr="00435C2F">
        <w:t xml:space="preserve"> Monitoring Plan</w:t>
      </w:r>
      <w:r w:rsidR="008C6EAD" w:rsidRPr="00435C2F">
        <w:rPr>
          <w:rStyle w:val="FootnoteReference"/>
        </w:rPr>
        <w:footnoteReference w:id="8"/>
      </w:r>
      <w:r w:rsidRPr="00435C2F">
        <w:t>.  This monitoring program is revised to include changes in the FMS system and evaluated by regional representatives.</w:t>
      </w:r>
    </w:p>
    <w:p w14:paraId="459D6C0E" w14:textId="77777777" w:rsidR="00F03770" w:rsidRPr="00435C2F" w:rsidRDefault="00F03770" w:rsidP="00F03770"/>
    <w:p w14:paraId="4347360B" w14:textId="2B9776EB" w:rsidR="00F03770" w:rsidRPr="00435C2F" w:rsidRDefault="00F03770" w:rsidP="004511B3">
      <w:pPr>
        <w:pStyle w:val="Heading2"/>
        <w:numPr>
          <w:ilvl w:val="1"/>
          <w:numId w:val="2"/>
        </w:numPr>
      </w:pPr>
      <w:bookmarkStart w:id="37" w:name="_Toc36479885"/>
      <w:bookmarkStart w:id="38" w:name="_Toc65067936"/>
      <w:r w:rsidRPr="00435C2F">
        <w:t>Malfunction</w:t>
      </w:r>
      <w:r w:rsidR="000F7EB6">
        <w:t>ing</w:t>
      </w:r>
      <w:r w:rsidRPr="00435C2F">
        <w:t xml:space="preserve"> TDG Gauges</w:t>
      </w:r>
      <w:bookmarkEnd w:id="37"/>
      <w:bookmarkEnd w:id="38"/>
    </w:p>
    <w:p w14:paraId="1DF11F7C" w14:textId="29190E5E" w:rsidR="00F03770" w:rsidRPr="00435C2F" w:rsidRDefault="00F03770" w:rsidP="00F03770">
      <w:r w:rsidRPr="00435C2F">
        <w:t xml:space="preserve">In the event that </w:t>
      </w:r>
      <w:proofErr w:type="gramStart"/>
      <w:r w:rsidRPr="00435C2F">
        <w:t>a</w:t>
      </w:r>
      <w:proofErr w:type="gramEnd"/>
      <w:r w:rsidRPr="00435C2F">
        <w:t xml:space="preserve"> FMS is out of service </w:t>
      </w:r>
      <w:r w:rsidR="009A45E9" w:rsidRPr="00435C2F">
        <w:t xml:space="preserve">for </w:t>
      </w:r>
      <w:r w:rsidRPr="00435C2F">
        <w:t xml:space="preserve">an extended period of time, the Corps’ </w:t>
      </w:r>
      <w:r w:rsidR="00D623C9">
        <w:t>Reservoir Control Center (</w:t>
      </w:r>
      <w:r w:rsidRPr="00435C2F">
        <w:t>RCC</w:t>
      </w:r>
      <w:r w:rsidR="00D623C9">
        <w:t>)</w:t>
      </w:r>
      <w:r w:rsidRPr="00435C2F">
        <w:t xml:space="preserve"> will use all available tool</w:t>
      </w:r>
      <w:r w:rsidR="009A45E9" w:rsidRPr="00435C2F">
        <w:t>s</w:t>
      </w:r>
      <w:r w:rsidRPr="00435C2F">
        <w:t xml:space="preserve"> to </w:t>
      </w:r>
      <w:r w:rsidR="0056298A" w:rsidRPr="00435C2F">
        <w:t>estimate</w:t>
      </w:r>
      <w:r w:rsidRPr="00435C2F">
        <w:t xml:space="preserve"> the TDG reading</w:t>
      </w:r>
      <w:r w:rsidR="009A45E9" w:rsidRPr="00435C2F">
        <w:t>s</w:t>
      </w:r>
      <w:r w:rsidRPr="00435C2F">
        <w:t xml:space="preserve"> for the malfunctioning gauge.  These tools </w:t>
      </w:r>
      <w:r w:rsidR="009A45E9" w:rsidRPr="00435C2F">
        <w:t>may</w:t>
      </w:r>
      <w:r w:rsidRPr="00435C2F">
        <w:t xml:space="preserve"> include</w:t>
      </w:r>
      <w:r w:rsidR="009A45E9" w:rsidRPr="00435C2F">
        <w:t xml:space="preserve"> one of the following</w:t>
      </w:r>
      <w:r w:rsidRPr="00435C2F">
        <w:t>:</w:t>
      </w:r>
    </w:p>
    <w:p w14:paraId="4651A992" w14:textId="4118FD80" w:rsidR="009F5182" w:rsidRPr="00435C2F" w:rsidRDefault="00F03770" w:rsidP="004511B3">
      <w:pPr>
        <w:pStyle w:val="ListParagraph"/>
        <w:numPr>
          <w:ilvl w:val="0"/>
          <w:numId w:val="10"/>
        </w:numPr>
        <w:spacing w:after="0"/>
      </w:pPr>
      <w:r w:rsidRPr="00435C2F">
        <w:t xml:space="preserve">SYSTDG - the SYSTDG model </w:t>
      </w:r>
      <w:r w:rsidR="009A45E9" w:rsidRPr="00435C2F">
        <w:t xml:space="preserve">can be used </w:t>
      </w:r>
      <w:r w:rsidRPr="00435C2F">
        <w:t>to provide estimated TDG levels for the malfunctioning gauge and th</w:t>
      </w:r>
      <w:r w:rsidR="009A45E9" w:rsidRPr="00435C2F">
        <w:t>ose</w:t>
      </w:r>
      <w:r w:rsidRPr="00435C2F">
        <w:t xml:space="preserve"> </w:t>
      </w:r>
      <w:r w:rsidR="009A45E9" w:rsidRPr="00435C2F">
        <w:t xml:space="preserve">TDG </w:t>
      </w:r>
      <w:r w:rsidRPr="00435C2F">
        <w:t>estimation</w:t>
      </w:r>
      <w:r w:rsidR="009A45E9" w:rsidRPr="00435C2F">
        <w:t>s may be used</w:t>
      </w:r>
      <w:r w:rsidRPr="00435C2F">
        <w:t xml:space="preserve"> for spill management.</w:t>
      </w:r>
      <w:r w:rsidR="00AE7019" w:rsidRPr="00435C2F">
        <w:t xml:space="preserve">  </w:t>
      </w:r>
      <w:r w:rsidR="00233C0E" w:rsidRPr="00435C2F">
        <w:t xml:space="preserve">As needed, the Corps will share estimates of TDG.  </w:t>
      </w:r>
    </w:p>
    <w:p w14:paraId="45E3117E" w14:textId="60216403" w:rsidR="00F03770" w:rsidRPr="00435C2F" w:rsidRDefault="009F5182" w:rsidP="004511B3">
      <w:pPr>
        <w:pStyle w:val="ListParagraph"/>
        <w:numPr>
          <w:ilvl w:val="0"/>
          <w:numId w:val="10"/>
        </w:numPr>
        <w:spacing w:after="0"/>
        <w:rPr>
          <w:bCs/>
          <w:iCs/>
        </w:rPr>
      </w:pPr>
      <w:r w:rsidRPr="00435C2F">
        <w:t xml:space="preserve">An alternate gauge – </w:t>
      </w:r>
      <w:r w:rsidR="00146437">
        <w:t xml:space="preserve">in the Bonneville Dam tailrace, </w:t>
      </w:r>
      <w:r w:rsidRPr="00435C2F">
        <w:t xml:space="preserve">the Warrendale gauge is considered an alternate gauge </w:t>
      </w:r>
      <w:r w:rsidR="00AE7019" w:rsidRPr="00435C2F">
        <w:t xml:space="preserve">for the </w:t>
      </w:r>
      <w:r w:rsidRPr="00435C2F">
        <w:t>Cascade</w:t>
      </w:r>
      <w:r w:rsidR="00146437">
        <w:t>s</w:t>
      </w:r>
      <w:r w:rsidRPr="00435C2F">
        <w:t xml:space="preserve"> Island</w:t>
      </w:r>
      <w:r w:rsidR="00AE7019" w:rsidRPr="00435C2F">
        <w:t xml:space="preserve"> FMS</w:t>
      </w:r>
      <w:r w:rsidRPr="00435C2F">
        <w:t>.</w:t>
      </w:r>
    </w:p>
    <w:p w14:paraId="3322E53E" w14:textId="77777777" w:rsidR="00F03770" w:rsidRPr="00435C2F" w:rsidRDefault="00F03770" w:rsidP="009A6257">
      <w:pPr>
        <w:spacing w:after="0"/>
        <w:rPr>
          <w:bCs/>
          <w:iCs/>
        </w:rPr>
      </w:pPr>
    </w:p>
    <w:p w14:paraId="5CC14686" w14:textId="77777777" w:rsidR="003F0B3A" w:rsidRPr="00435C2F" w:rsidRDefault="0055691F" w:rsidP="006745C7">
      <w:pPr>
        <w:pStyle w:val="Heading1"/>
      </w:pPr>
      <w:bookmarkStart w:id="39" w:name="_Toc36479886"/>
      <w:bookmarkStart w:id="40" w:name="_Ref64979381"/>
      <w:bookmarkStart w:id="41" w:name="_Ref64979393"/>
      <w:bookmarkStart w:id="42" w:name="_Ref64979396"/>
      <w:bookmarkStart w:id="43" w:name="_Ref64979401"/>
      <w:bookmarkStart w:id="44" w:name="_Toc65067937"/>
      <w:r w:rsidRPr="00435C2F">
        <w:t>Procedure for Setting Spill Caps</w:t>
      </w:r>
      <w:bookmarkEnd w:id="39"/>
      <w:bookmarkEnd w:id="40"/>
      <w:bookmarkEnd w:id="41"/>
      <w:bookmarkEnd w:id="42"/>
      <w:bookmarkEnd w:id="43"/>
      <w:bookmarkEnd w:id="44"/>
    </w:p>
    <w:p w14:paraId="1266AC40" w14:textId="6414AE51" w:rsidR="00F44DA3" w:rsidRDefault="001B62D8" w:rsidP="0055691F">
      <w:r>
        <w:rPr>
          <w:bCs/>
          <w:iCs/>
        </w:rPr>
        <w:t>To</w:t>
      </w:r>
      <w:r w:rsidR="0055691F" w:rsidRPr="00435C2F">
        <w:t xml:space="preserve"> successfully implement gas cap spill for the spring migration season</w:t>
      </w:r>
      <w:r w:rsidR="003979FE">
        <w:t xml:space="preserve"> and set appropriate spill caps during the summer</w:t>
      </w:r>
      <w:r w:rsidR="0055691F" w:rsidRPr="00435C2F">
        <w:t>, the Corps will apply the following procedures</w:t>
      </w:r>
      <w:r w:rsidR="005F46EB">
        <w:t>:</w:t>
      </w:r>
    </w:p>
    <w:p w14:paraId="448972D9" w14:textId="7453BFC1" w:rsidR="004511B3" w:rsidRPr="00435C2F" w:rsidRDefault="0055691F" w:rsidP="002E3360">
      <w:pPr>
        <w:numPr>
          <w:ilvl w:val="0"/>
          <w:numId w:val="7"/>
        </w:numPr>
        <w:ind w:left="360"/>
        <w:contextualSpacing/>
      </w:pPr>
      <w:r w:rsidRPr="00435C2F">
        <w:t xml:space="preserve">TDG </w:t>
      </w:r>
      <w:r w:rsidR="00CB0469">
        <w:t>WQS</w:t>
      </w:r>
      <w:r w:rsidR="006C7CC2" w:rsidRPr="00435C2F">
        <w:t xml:space="preserve">  </w:t>
      </w:r>
    </w:p>
    <w:p w14:paraId="331FD22D" w14:textId="77777777" w:rsidR="00F63EE5" w:rsidRPr="00435C2F" w:rsidRDefault="00F63EE5" w:rsidP="00F63EE5">
      <w:pPr>
        <w:numPr>
          <w:ilvl w:val="1"/>
          <w:numId w:val="7"/>
        </w:numPr>
        <w:ind w:left="720"/>
        <w:contextualSpacing/>
      </w:pPr>
      <w:r w:rsidRPr="00435C2F">
        <w:t>At the four lower Snake River projects, only the State of Washington TDG WQS applies.</w:t>
      </w:r>
    </w:p>
    <w:p w14:paraId="06D24319" w14:textId="77777777" w:rsidR="00F63EE5" w:rsidRDefault="00F63EE5" w:rsidP="00F63EE5">
      <w:pPr>
        <w:numPr>
          <w:ilvl w:val="1"/>
          <w:numId w:val="7"/>
        </w:numPr>
        <w:ind w:left="720"/>
        <w:contextualSpacing/>
      </w:pPr>
      <w:r w:rsidRPr="00435C2F">
        <w:t xml:space="preserve">The lower Columbia River borders the states of Washington and Oregon, therefore both states’ TDG WQS apply to McNary, John Day, The Dalles, and Bonneville projects.  </w:t>
      </w:r>
    </w:p>
    <w:p w14:paraId="6807D51B" w14:textId="6BFCD9AC" w:rsidR="0055691F" w:rsidRPr="00435C2F" w:rsidRDefault="00A761EA" w:rsidP="00F63EE5">
      <w:pPr>
        <w:numPr>
          <w:ilvl w:val="1"/>
          <w:numId w:val="7"/>
        </w:numPr>
        <w:ind w:left="720"/>
        <w:contextualSpacing/>
      </w:pPr>
      <w:r w:rsidRPr="00435C2F">
        <w:t xml:space="preserve">The Corps will operate to the more restrictive state TDG WQS at these projects </w:t>
      </w:r>
      <w:r w:rsidR="0055169A" w:rsidRPr="00435C2F">
        <w:t>to</w:t>
      </w:r>
      <w:r w:rsidRPr="00435C2F">
        <w:t xml:space="preserve"> maintain TDG within all applicable state standards.</w:t>
      </w:r>
    </w:p>
    <w:p w14:paraId="6BA1636B" w14:textId="5E379731" w:rsidR="006C6C88" w:rsidRPr="0072179E" w:rsidRDefault="006C6C88" w:rsidP="00E4520C">
      <w:pPr>
        <w:numPr>
          <w:ilvl w:val="1"/>
          <w:numId w:val="7"/>
        </w:numPr>
        <w:ind w:left="720"/>
        <w:contextualSpacing/>
      </w:pPr>
      <w:r w:rsidRPr="00435C2F">
        <w:lastRenderedPageBreak/>
        <w:t>Spill caps will be set to</w:t>
      </w:r>
      <w:r w:rsidR="00F63EE5">
        <w:t xml:space="preserve"> meet but not exceed</w:t>
      </w:r>
      <w:r w:rsidRPr="00435C2F">
        <w:t xml:space="preserve"> both the 12-hour average and the 2-hour average criteria</w:t>
      </w:r>
      <w:r w:rsidR="00E27090">
        <w:t xml:space="preserve"> in the project tailrace</w:t>
      </w:r>
      <w:r w:rsidRPr="00435C2F">
        <w:t>. Washington’s TDG maximum two-hour average criteria of 126% is more restrictive than Oregon’s criteria, so it will be used to set spill caps.</w:t>
      </w:r>
      <w:r w:rsidR="00CF72E1" w:rsidRPr="00435C2F">
        <w:t xml:space="preserve">  </w:t>
      </w:r>
    </w:p>
    <w:p w14:paraId="0F876AB1" w14:textId="595863C3" w:rsidR="0055691F" w:rsidRPr="00435C2F" w:rsidRDefault="0055691F" w:rsidP="002E3360">
      <w:pPr>
        <w:numPr>
          <w:ilvl w:val="1"/>
          <w:numId w:val="7"/>
        </w:numPr>
        <w:ind w:left="720"/>
        <w:contextualSpacing/>
      </w:pPr>
      <w:r w:rsidRPr="00435C2F">
        <w:t xml:space="preserve">Each day from April 3 to June 20 (lower Snake River projects) and from April 10 to June 15 (lower Columbia River projects), </w:t>
      </w:r>
      <w:r w:rsidR="00A33603" w:rsidRPr="00435C2F">
        <w:t xml:space="preserve">the </w:t>
      </w:r>
      <w:r w:rsidRPr="00435C2F">
        <w:t>spill caps</w:t>
      </w:r>
      <w:r w:rsidRPr="00435C2F">
        <w:rPr>
          <w:vertAlign w:val="superscript"/>
        </w:rPr>
        <w:footnoteReference w:id="9"/>
      </w:r>
      <w:r w:rsidR="00922637" w:rsidRPr="00435C2F">
        <w:t xml:space="preserve"> </w:t>
      </w:r>
      <w:r w:rsidRPr="00435C2F">
        <w:t xml:space="preserve">will be reviewed and adjusted so as not to exceed the applicable </w:t>
      </w:r>
      <w:r w:rsidR="00922637" w:rsidRPr="00435C2F">
        <w:t xml:space="preserve">125% </w:t>
      </w:r>
      <w:r w:rsidR="00D623C9">
        <w:t>(12-hr average)</w:t>
      </w:r>
      <w:r w:rsidR="00F63EE5">
        <w:t xml:space="preserve"> </w:t>
      </w:r>
      <w:r w:rsidR="00922637" w:rsidRPr="00435C2F">
        <w:t>/ 126%</w:t>
      </w:r>
      <w:r w:rsidRPr="00435C2F">
        <w:t xml:space="preserve"> </w:t>
      </w:r>
      <w:r w:rsidR="00D623C9">
        <w:t xml:space="preserve">(2-hr max) </w:t>
      </w:r>
      <w:r w:rsidRPr="00435C2F">
        <w:t>T</w:t>
      </w:r>
      <w:r w:rsidRPr="0072179E">
        <w:t xml:space="preserve">DG WQS.  Daily 12-hour TDG concentrations will be calculated using hourly TDG data from </w:t>
      </w:r>
      <w:r w:rsidRPr="00435C2F">
        <w:t>FMS placed in the tailrace of each project, in accordance with the applicable state’s methodology, which includes rounding TDG levels to the nearest whole number.</w:t>
      </w:r>
    </w:p>
    <w:p w14:paraId="5270B570" w14:textId="1FDFBEE9" w:rsidR="00802137" w:rsidRPr="00435C2F" w:rsidRDefault="00802137" w:rsidP="002E3360">
      <w:pPr>
        <w:numPr>
          <w:ilvl w:val="1"/>
          <w:numId w:val="7"/>
        </w:numPr>
        <w:ind w:left="720"/>
        <w:contextualSpacing/>
      </w:pPr>
      <w:r w:rsidRPr="00435C2F">
        <w:t xml:space="preserve">Both Oregon and Washington have a more restrictive TDG criteria if </w:t>
      </w:r>
      <w:r w:rsidR="001E5C0E">
        <w:t xml:space="preserve">GBT </w:t>
      </w:r>
      <w:r w:rsidRPr="00435C2F">
        <w:t>data exceed thresholds (</w:t>
      </w:r>
      <w:r w:rsidR="003979FE">
        <w:t xml:space="preserve">see Section </w:t>
      </w:r>
      <w:r w:rsidR="003979FE">
        <w:fldChar w:fldCharType="begin"/>
      </w:r>
      <w:r w:rsidR="003979FE">
        <w:instrText xml:space="preserve"> REF _Ref64979736 \r \h </w:instrText>
      </w:r>
      <w:r w:rsidR="003979FE">
        <w:fldChar w:fldCharType="separate"/>
      </w:r>
      <w:r w:rsidR="003979FE">
        <w:t>8.0</w:t>
      </w:r>
      <w:r w:rsidR="003979FE">
        <w:fldChar w:fldCharType="end"/>
      </w:r>
      <w:r w:rsidR="003979FE">
        <w:t xml:space="preserve"> </w:t>
      </w:r>
      <w:r w:rsidR="003979FE">
        <w:fldChar w:fldCharType="begin"/>
      </w:r>
      <w:r w:rsidR="003979FE">
        <w:instrText xml:space="preserve"> REF _Ref64979739 \h </w:instrText>
      </w:r>
      <w:r w:rsidR="003979FE">
        <w:fldChar w:fldCharType="separate"/>
      </w:r>
      <w:r w:rsidR="003979FE" w:rsidRPr="0072179E">
        <w:t>Gas Bubble Trauma Monitoring</w:t>
      </w:r>
      <w:r w:rsidR="003979FE">
        <w:fldChar w:fldCharType="end"/>
      </w:r>
      <w:r w:rsidR="003979FE">
        <w:t>)</w:t>
      </w:r>
      <w:r w:rsidRPr="00435C2F">
        <w:t>).</w:t>
      </w:r>
      <w:r w:rsidR="00872CAB" w:rsidRPr="00435C2F">
        <w:t xml:space="preserve">  </w:t>
      </w:r>
    </w:p>
    <w:p w14:paraId="5914C1C5" w14:textId="3E4A2E93" w:rsidR="00887414" w:rsidRPr="00435C2F" w:rsidRDefault="0072179E" w:rsidP="002E3360">
      <w:pPr>
        <w:numPr>
          <w:ilvl w:val="1"/>
          <w:numId w:val="7"/>
        </w:numPr>
        <w:ind w:left="720"/>
        <w:contextualSpacing/>
      </w:pPr>
      <w:r>
        <w:t>E</w:t>
      </w:r>
      <w:r w:rsidR="00887414" w:rsidRPr="0072179E">
        <w:t xml:space="preserve">ach day from June 21 to August </w:t>
      </w:r>
      <w:r w:rsidR="008462D9">
        <w:t>14</w:t>
      </w:r>
      <w:r w:rsidR="008462D9" w:rsidRPr="0072179E">
        <w:t xml:space="preserve"> </w:t>
      </w:r>
      <w:r w:rsidR="00887414" w:rsidRPr="0072179E">
        <w:t xml:space="preserve">(lower Snake River projects) and from </w:t>
      </w:r>
      <w:r w:rsidR="00887414" w:rsidRPr="00435C2F">
        <w:t xml:space="preserve">June 16 to August </w:t>
      </w:r>
      <w:r w:rsidR="004F68A0">
        <w:t>14</w:t>
      </w:r>
      <w:r w:rsidR="004F68A0" w:rsidRPr="00435C2F">
        <w:t xml:space="preserve"> </w:t>
      </w:r>
      <w:r w:rsidR="00887414" w:rsidRPr="00435C2F">
        <w:t xml:space="preserve">(lower Columbia River projects), </w:t>
      </w:r>
      <w:r w:rsidR="00A33603" w:rsidRPr="00435C2F">
        <w:t xml:space="preserve">the </w:t>
      </w:r>
      <w:r w:rsidR="00887414" w:rsidRPr="00435C2F">
        <w:t>project 1</w:t>
      </w:r>
      <w:r w:rsidR="00A33603" w:rsidRPr="00435C2F">
        <w:t>15</w:t>
      </w:r>
      <w:r w:rsidR="00887414" w:rsidRPr="00435C2F">
        <w:t>%</w:t>
      </w:r>
      <w:r w:rsidR="008B537F">
        <w:t>/120%</w:t>
      </w:r>
      <w:r w:rsidR="00887414" w:rsidRPr="00435C2F">
        <w:t xml:space="preserve"> TDG spill caps will be reviewed and adjusted so as not to exceed the applicable State TDG WQS.</w:t>
      </w:r>
      <w:r w:rsidR="00AA3138" w:rsidRPr="00435C2F">
        <w:t xml:space="preserve">  </w:t>
      </w:r>
      <w:r w:rsidR="0002368C">
        <w:t>Spill</w:t>
      </w:r>
      <w:r w:rsidR="00AA3138" w:rsidRPr="00435C2F">
        <w:t xml:space="preserve"> caps </w:t>
      </w:r>
      <w:r w:rsidR="0002368C">
        <w:t>may</w:t>
      </w:r>
      <w:r w:rsidR="0002368C" w:rsidRPr="00435C2F">
        <w:t xml:space="preserve"> </w:t>
      </w:r>
      <w:r w:rsidR="000B5CAE" w:rsidRPr="00435C2F">
        <w:t>be less</w:t>
      </w:r>
      <w:r w:rsidR="00AA3138" w:rsidRPr="00435C2F">
        <w:t xml:space="preserve"> than the performance standard spill. </w:t>
      </w:r>
    </w:p>
    <w:p w14:paraId="7B5CE9B7" w14:textId="3B35B9DA" w:rsidR="006830B7" w:rsidRDefault="004F68A0" w:rsidP="00447489">
      <w:pPr>
        <w:numPr>
          <w:ilvl w:val="1"/>
          <w:numId w:val="7"/>
        </w:numPr>
        <w:ind w:left="720"/>
        <w:contextualSpacing/>
      </w:pPr>
      <w:r>
        <w:t xml:space="preserve">The Corps </w:t>
      </w:r>
      <w:r w:rsidR="00EA3D86">
        <w:t xml:space="preserve">will perform daily spill review but </w:t>
      </w:r>
      <w:r>
        <w:t>does not expect to need to change spill caps from August 15 through Aug</w:t>
      </w:r>
      <w:r w:rsidR="00BC30F3">
        <w:t>ust</w:t>
      </w:r>
      <w:r>
        <w:t xml:space="preserve"> 31 since the </w:t>
      </w:r>
      <w:r w:rsidR="007A1C82">
        <w:t>l</w:t>
      </w:r>
      <w:r>
        <w:t xml:space="preserve">ower Snake River projects will </w:t>
      </w:r>
      <w:r w:rsidR="00E630CE">
        <w:t xml:space="preserve">only </w:t>
      </w:r>
      <w:r>
        <w:t xml:space="preserve">be spilling through the spillway weirs (7 to 8 kcfs) and </w:t>
      </w:r>
      <w:r w:rsidR="00E630CE">
        <w:t>at lower rates not expected to exceed water quality standards</w:t>
      </w:r>
      <w:r>
        <w:t xml:space="preserve"> at the lower Columbia River projects.</w:t>
      </w:r>
    </w:p>
    <w:p w14:paraId="67266EB5" w14:textId="77777777" w:rsidR="0055691F" w:rsidRPr="00435C2F" w:rsidRDefault="0055691F" w:rsidP="00447489">
      <w:pPr>
        <w:ind w:left="720"/>
        <w:contextualSpacing/>
      </w:pPr>
    </w:p>
    <w:p w14:paraId="4871FAAF" w14:textId="698711E2" w:rsidR="0055691F" w:rsidRPr="00435C2F" w:rsidRDefault="0055691F" w:rsidP="002E3360">
      <w:pPr>
        <w:numPr>
          <w:ilvl w:val="0"/>
          <w:numId w:val="7"/>
        </w:numPr>
        <w:ind w:left="360"/>
        <w:contextualSpacing/>
      </w:pPr>
      <w:r w:rsidRPr="00435C2F">
        <w:t>Spill Caps</w:t>
      </w:r>
    </w:p>
    <w:p w14:paraId="57AAD8C0" w14:textId="77777777" w:rsidR="0055691F" w:rsidRPr="00435C2F" w:rsidRDefault="0055691F" w:rsidP="002E3360">
      <w:pPr>
        <w:numPr>
          <w:ilvl w:val="1"/>
          <w:numId w:val="7"/>
        </w:numPr>
        <w:ind w:left="720"/>
        <w:contextualSpacing/>
      </w:pPr>
      <w:r w:rsidRPr="00435C2F">
        <w:t>Spill caps will be set starting at Lower Granite Dam (the most upstream fish passage project) and adjusted in downstream order to Bonneville Dam in response to resulting TDG levels.</w:t>
      </w:r>
    </w:p>
    <w:p w14:paraId="504A1B09" w14:textId="67473D66" w:rsidR="0055691F" w:rsidRPr="00435C2F" w:rsidRDefault="009650A4" w:rsidP="002E3360">
      <w:pPr>
        <w:numPr>
          <w:ilvl w:val="1"/>
          <w:numId w:val="7"/>
        </w:numPr>
        <w:ind w:left="720"/>
        <w:contextualSpacing/>
      </w:pPr>
      <w:r w:rsidRPr="00435C2F">
        <w:t>S</w:t>
      </w:r>
      <w:r w:rsidR="0055691F" w:rsidRPr="00435C2F">
        <w:t xml:space="preserve">pill caps at a project will be set at the maximum level </w:t>
      </w:r>
      <w:r w:rsidR="005E4DBC" w:rsidRPr="00435C2F">
        <w:t xml:space="preserve">estimated </w:t>
      </w:r>
      <w:r w:rsidR="0055691F" w:rsidRPr="00435C2F">
        <w:t xml:space="preserve">to meet, but not exceed, </w:t>
      </w:r>
      <w:r w:rsidR="00450CD2">
        <w:t xml:space="preserve">the </w:t>
      </w:r>
      <w:r w:rsidR="0055691F" w:rsidRPr="00435C2F">
        <w:t xml:space="preserve">TDG </w:t>
      </w:r>
      <w:r w:rsidR="00F63EE5">
        <w:t>water quality standard</w:t>
      </w:r>
      <w:r w:rsidR="00512993">
        <w:t xml:space="preserve"> (see </w:t>
      </w:r>
      <w:r w:rsidR="00450CD2">
        <w:t xml:space="preserve">Section </w:t>
      </w:r>
      <w:r w:rsidR="00450CD2">
        <w:fldChar w:fldCharType="begin"/>
      </w:r>
      <w:r w:rsidR="00450CD2">
        <w:instrText xml:space="preserve"> REF _Ref66460439 \r \h </w:instrText>
      </w:r>
      <w:r w:rsidR="00450CD2">
        <w:fldChar w:fldCharType="separate"/>
      </w:r>
      <w:r w:rsidR="00450CD2">
        <w:t>4.2</w:t>
      </w:r>
      <w:r w:rsidR="00450CD2">
        <w:fldChar w:fldCharType="end"/>
      </w:r>
      <w:r w:rsidR="00447489">
        <w:t xml:space="preserve"> </w:t>
      </w:r>
      <w:r w:rsidR="00512993">
        <w:t>for more detail)</w:t>
      </w:r>
      <w:r w:rsidR="00C047A1" w:rsidRPr="00435C2F">
        <w:t>.</w:t>
      </w:r>
    </w:p>
    <w:p w14:paraId="45FC0794" w14:textId="01EA83C0" w:rsidR="0055691F" w:rsidRPr="00435C2F" w:rsidRDefault="0055691F" w:rsidP="002E3360">
      <w:pPr>
        <w:numPr>
          <w:ilvl w:val="1"/>
          <w:numId w:val="7"/>
        </w:numPr>
        <w:ind w:left="720"/>
        <w:contextualSpacing/>
      </w:pPr>
      <w:r w:rsidRPr="00435C2F">
        <w:t>Spill cap estimates are influenced by several factors that cannot be precisely predicted, including (1) environmental conditions, such as total flow, wind, ambient temperature, barometric pressure, incoming TDG from upstream projects, and travel time from the upstream project tailrace to the next downstream project forebay</w:t>
      </w:r>
      <w:r w:rsidRPr="00435C2F">
        <w:rPr>
          <w:vertAlign w:val="superscript"/>
        </w:rPr>
        <w:footnoteReference w:id="10"/>
      </w:r>
      <w:r w:rsidRPr="00435C2F">
        <w:t xml:space="preserve">; and (2) project operations, such as spill level, spill pattern, tailwater elevation, proportion of flow through the turbines, and project configuration.  As a result, in many instances, spill caps will not always meet </w:t>
      </w:r>
      <w:r w:rsidR="00BC30F3">
        <w:t xml:space="preserve">the </w:t>
      </w:r>
      <w:r w:rsidRPr="00435C2F">
        <w:t xml:space="preserve">gas cap (i.e., actual TDG levels may be above or below the gas cap).  </w:t>
      </w:r>
    </w:p>
    <w:p w14:paraId="70BB9466" w14:textId="77777777" w:rsidR="0055691F" w:rsidRPr="0072179E" w:rsidRDefault="009A36CE" w:rsidP="002E3360">
      <w:pPr>
        <w:numPr>
          <w:ilvl w:val="1"/>
          <w:numId w:val="7"/>
        </w:numPr>
        <w:ind w:left="720"/>
        <w:contextualSpacing/>
      </w:pPr>
      <w:r w:rsidRPr="0072179E">
        <w:t xml:space="preserve">It </w:t>
      </w:r>
      <w:r w:rsidR="00C659AF" w:rsidRPr="0072179E">
        <w:t>may</w:t>
      </w:r>
      <w:r w:rsidRPr="0072179E">
        <w:t xml:space="preserve"> be necessary to adjust spill at John Day Dam to manage TDG levels in The Dalles tailwater since </w:t>
      </w:r>
      <w:r w:rsidR="00C659AF" w:rsidRPr="0072179E">
        <w:t xml:space="preserve">both spill and powerhouse TDG impact The Dalles tailwater gauge.  </w:t>
      </w:r>
      <w:r w:rsidR="0055691F" w:rsidRPr="0072179E">
        <w:t xml:space="preserve">Observed TDG responses to </w:t>
      </w:r>
      <w:r w:rsidR="004C0185" w:rsidRPr="0072179E">
        <w:t xml:space="preserve">John Day Dam </w:t>
      </w:r>
      <w:r w:rsidR="0055691F" w:rsidRPr="0072179E">
        <w:t xml:space="preserve">spill cap adjustments at </w:t>
      </w:r>
      <w:r w:rsidR="004C0185" w:rsidRPr="0072179E">
        <w:t xml:space="preserve">The Dalles </w:t>
      </w:r>
      <w:r w:rsidR="004B5AC8" w:rsidRPr="0072179E">
        <w:t>forebay</w:t>
      </w:r>
      <w:r w:rsidR="0055691F" w:rsidRPr="0072179E">
        <w:t xml:space="preserve"> will be evident within 24 hours</w:t>
      </w:r>
      <w:r w:rsidR="004C0185" w:rsidRPr="0072179E">
        <w:t>.</w:t>
      </w:r>
      <w:r w:rsidR="0055691F" w:rsidRPr="0072179E">
        <w:t xml:space="preserve"> </w:t>
      </w:r>
    </w:p>
    <w:p w14:paraId="1396051A" w14:textId="77777777" w:rsidR="0055691F" w:rsidRPr="00435C2F" w:rsidRDefault="0055691F" w:rsidP="0055691F">
      <w:pPr>
        <w:ind w:left="720"/>
        <w:contextualSpacing/>
      </w:pPr>
    </w:p>
    <w:p w14:paraId="7D4E753B" w14:textId="77777777" w:rsidR="0055691F" w:rsidRPr="00435C2F" w:rsidRDefault="0055691F" w:rsidP="002E3360">
      <w:pPr>
        <w:numPr>
          <w:ilvl w:val="0"/>
          <w:numId w:val="7"/>
        </w:numPr>
        <w:ind w:left="360"/>
        <w:contextualSpacing/>
      </w:pPr>
      <w:r w:rsidRPr="00435C2F">
        <w:lastRenderedPageBreak/>
        <w:t>Daily Process used to Set Spill Caps.</w:t>
      </w:r>
    </w:p>
    <w:p w14:paraId="45F460E1" w14:textId="08703ECF" w:rsidR="0055691F" w:rsidRPr="0072179E" w:rsidRDefault="0055691F" w:rsidP="002E3360">
      <w:pPr>
        <w:numPr>
          <w:ilvl w:val="1"/>
          <w:numId w:val="7"/>
        </w:numPr>
        <w:ind w:left="720"/>
        <w:contextualSpacing/>
      </w:pPr>
      <w:r w:rsidRPr="00435C2F">
        <w:t>Daily data review.</w:t>
      </w:r>
      <w:r w:rsidR="00B7223B" w:rsidRPr="00435C2F">
        <w:rPr>
          <w:rStyle w:val="FootnoteReference"/>
        </w:rPr>
        <w:footnoteReference w:id="11"/>
      </w:r>
      <w:r w:rsidRPr="00435C2F">
        <w:t xml:space="preserve">  Each day </w:t>
      </w:r>
      <w:r w:rsidR="00EA3D86">
        <w:t>from April 3 through</w:t>
      </w:r>
      <w:r w:rsidR="005D1DA4">
        <w:t xml:space="preserve"> August 31</w:t>
      </w:r>
      <w:r w:rsidR="00EA3D86">
        <w:t xml:space="preserve">, </w:t>
      </w:r>
      <w:r w:rsidRPr="00435C2F">
        <w:t xml:space="preserve">Corps staff will review observed spill levels and resulting TDG data, </w:t>
      </w:r>
      <w:r w:rsidR="001E5C0E">
        <w:t xml:space="preserve">GBT </w:t>
      </w:r>
      <w:r w:rsidR="0052097E" w:rsidRPr="00435C2F">
        <w:t xml:space="preserve">data, </w:t>
      </w:r>
      <w:r w:rsidRPr="00435C2F">
        <w:t xml:space="preserve">flow and weather forecast information, tailwater elevation, unit outage information, and other water quality data.  In addition, staff will assess the need for a </w:t>
      </w:r>
      <w:r w:rsidR="0052097E" w:rsidRPr="0072179E">
        <w:t xml:space="preserve">TDG criteria adjustment due to </w:t>
      </w:r>
      <w:r w:rsidR="001E5C0E">
        <w:t>exceeding GBT criteria per state WQS</w:t>
      </w:r>
      <w:r w:rsidRPr="0072179E">
        <w:t>.</w:t>
      </w:r>
      <w:r w:rsidR="00D916EF" w:rsidRPr="0072179E">
        <w:t xml:space="preserve">  </w:t>
      </w:r>
    </w:p>
    <w:p w14:paraId="4B3568BC" w14:textId="77777777" w:rsidR="0055691F" w:rsidRPr="0072179E" w:rsidRDefault="0055691F" w:rsidP="002E3360">
      <w:pPr>
        <w:numPr>
          <w:ilvl w:val="1"/>
          <w:numId w:val="7"/>
        </w:numPr>
        <w:ind w:left="720"/>
        <w:contextualSpacing/>
      </w:pPr>
      <w:r w:rsidRPr="0072179E">
        <w:t>Run SYSTDG Model.</w:t>
      </w:r>
      <w:r w:rsidRPr="00435C2F">
        <w:rPr>
          <w:vertAlign w:val="superscript"/>
        </w:rPr>
        <w:footnoteReference w:id="12"/>
      </w:r>
      <w:r w:rsidRPr="00435C2F">
        <w:t xml:space="preserve">  The SYSTDG model will be used </w:t>
      </w:r>
      <w:r w:rsidRPr="00435C2F">
        <w:rPr>
          <w:color w:val="000000"/>
        </w:rPr>
        <w:t xml:space="preserve">when appropriate </w:t>
      </w:r>
      <w:r w:rsidRPr="00435C2F">
        <w:t xml:space="preserve">as a real-time operations tool to forecast the TDG production levels for all the projects.  As warranted, Corps staff will cross-check projected spill caps with SYSTDG model simulation results to make appropriate spill cap adjustments.  It may be necessary </w:t>
      </w:r>
      <w:r w:rsidR="005E473D" w:rsidRPr="00435C2F">
        <w:t xml:space="preserve">to </w:t>
      </w:r>
      <w:r w:rsidR="00234E0D" w:rsidRPr="0072179E">
        <w:t xml:space="preserve">simulate iteratively </w:t>
      </w:r>
      <w:r w:rsidRPr="0072179E">
        <w:t>until the appropriate spill caps for all projects</w:t>
      </w:r>
      <w:r w:rsidRPr="0072179E" w:rsidDel="00E36AE6">
        <w:t xml:space="preserve"> </w:t>
      </w:r>
      <w:r w:rsidRPr="0072179E">
        <w:t>are determined, since a change at one project affects projects downstream.</w:t>
      </w:r>
    </w:p>
    <w:p w14:paraId="5AFFDBB2" w14:textId="77777777" w:rsidR="0055691F" w:rsidRPr="00435C2F" w:rsidRDefault="0055691F" w:rsidP="002E3360">
      <w:pPr>
        <w:numPr>
          <w:ilvl w:val="1"/>
          <w:numId w:val="7"/>
        </w:numPr>
        <w:ind w:left="720"/>
        <w:contextualSpacing/>
      </w:pPr>
      <w:r w:rsidRPr="0072179E">
        <w:t>Determine spill cap.  Corps staff will use the data review and SYSTDG modeling steps described above to determine the appropriate spill caps based on their best</w:t>
      </w:r>
      <w:r w:rsidRPr="00435C2F">
        <w:t xml:space="preserve"> professional judgment.  Initially, the Corps anticipates making relatively small adjustments in spill caps to allow TDG levels to equilibrate because large and frequent adjustments at multiple projects could lead to overcompensation in setting spill caps and result in fluctuations of high or low TDG levels.</w:t>
      </w:r>
    </w:p>
    <w:p w14:paraId="249C2EFB" w14:textId="77777777" w:rsidR="009650A4" w:rsidRPr="00435C2F" w:rsidRDefault="009650A4" w:rsidP="002E3360">
      <w:pPr>
        <w:numPr>
          <w:ilvl w:val="1"/>
          <w:numId w:val="7"/>
        </w:numPr>
        <w:ind w:left="720"/>
        <w:contextualSpacing/>
      </w:pPr>
      <w:r w:rsidRPr="00435C2F">
        <w:t>Notification.  Spill cap adjustments will be provided to each project and BPA duty schedulers daily or as changes are made.  Corps staff will typically complete the daily spill cap process by 1400 hours.</w:t>
      </w:r>
    </w:p>
    <w:p w14:paraId="16C31B91" w14:textId="77777777" w:rsidR="009650A4" w:rsidRPr="00435C2F" w:rsidRDefault="009650A4" w:rsidP="002E3360">
      <w:pPr>
        <w:numPr>
          <w:ilvl w:val="1"/>
          <w:numId w:val="7"/>
        </w:numPr>
        <w:ind w:left="720"/>
        <w:contextualSpacing/>
      </w:pPr>
      <w:r w:rsidRPr="00435C2F">
        <w:t xml:space="preserve">Coordination with regional sovereigns.  Spill caps will be posted to the Corps website each day.  Updates on </w:t>
      </w:r>
      <w:r w:rsidR="007F6844" w:rsidRPr="00435C2F">
        <w:t xml:space="preserve">project </w:t>
      </w:r>
      <w:r w:rsidRPr="00435C2F">
        <w:t xml:space="preserve">spill </w:t>
      </w:r>
      <w:r w:rsidR="007F6844" w:rsidRPr="00435C2F">
        <w:t xml:space="preserve">caps and resultant TDG </w:t>
      </w:r>
      <w:r w:rsidRPr="00435C2F">
        <w:t>will be provided at Technical Management Team (TMT) meetings.</w:t>
      </w:r>
    </w:p>
    <w:p w14:paraId="56054EFC" w14:textId="77777777" w:rsidR="009650A4" w:rsidRPr="00435C2F" w:rsidRDefault="009650A4" w:rsidP="009650A4">
      <w:pPr>
        <w:ind w:left="720"/>
        <w:contextualSpacing/>
      </w:pPr>
    </w:p>
    <w:p w14:paraId="24B3F410" w14:textId="35120FE2" w:rsidR="009650A4" w:rsidRPr="00435C2F" w:rsidRDefault="009650A4" w:rsidP="002E3360">
      <w:pPr>
        <w:numPr>
          <w:ilvl w:val="0"/>
          <w:numId w:val="7"/>
        </w:numPr>
        <w:ind w:left="360"/>
        <w:contextualSpacing/>
      </w:pPr>
      <w:r w:rsidRPr="00435C2F">
        <w:t xml:space="preserve">Other Considerations.  In addition to the factors described above that may influence spill levels, there are other considerations described in the </w:t>
      </w:r>
      <w:r w:rsidR="004171B9">
        <w:t xml:space="preserve">FOP </w:t>
      </w:r>
      <w:r w:rsidRPr="00435C2F">
        <w:t>that may result in adjustments to spill levels that are different than gas cap spill.  See Section 4.1 of the FOP for a list of these considerations.</w:t>
      </w:r>
    </w:p>
    <w:p w14:paraId="7346315F" w14:textId="77777777" w:rsidR="00802137" w:rsidRPr="00435C2F" w:rsidRDefault="00802137" w:rsidP="00E630CE">
      <w:pPr>
        <w:contextualSpacing/>
      </w:pPr>
    </w:p>
    <w:p w14:paraId="37AFB852" w14:textId="72112F1F" w:rsidR="00802137" w:rsidRDefault="00802137">
      <w:pPr>
        <w:pStyle w:val="Heading1"/>
      </w:pPr>
      <w:bookmarkStart w:id="45" w:name="_Toc36532684"/>
      <w:bookmarkStart w:id="46" w:name="_Toc36479887"/>
      <w:bookmarkStart w:id="47" w:name="_Ref64979736"/>
      <w:bookmarkStart w:id="48" w:name="_Ref64979739"/>
      <w:bookmarkStart w:id="49" w:name="_Toc65067938"/>
      <w:bookmarkEnd w:id="45"/>
      <w:r w:rsidRPr="0072179E">
        <w:t xml:space="preserve">Gas Bubble Trauma </w:t>
      </w:r>
      <w:r w:rsidR="00872CAB" w:rsidRPr="0072179E">
        <w:t>Monitoring</w:t>
      </w:r>
      <w:bookmarkEnd w:id="46"/>
      <w:bookmarkEnd w:id="47"/>
      <w:bookmarkEnd w:id="48"/>
      <w:bookmarkEnd w:id="49"/>
    </w:p>
    <w:p w14:paraId="1849B40C" w14:textId="0743A653" w:rsidR="003F3CB6" w:rsidRDefault="00512993" w:rsidP="00637043">
      <w:pPr>
        <w:spacing w:after="0"/>
      </w:pPr>
      <w:r>
        <w:t xml:space="preserve">Both Oregon and Washington WQS require GBT </w:t>
      </w:r>
      <w:r w:rsidR="00A17A64">
        <w:t>monitoring to implement the planned spill for juvenile fish passage in the spring</w:t>
      </w:r>
      <w:r w:rsidR="003F3CB6">
        <w:t xml:space="preserve">.  </w:t>
      </w:r>
      <w:r w:rsidR="002F4AC4">
        <w:t>The details of monitoring and evaluation are in the Corps’ 2022 Biological Monitoring Plan (letter dated March 15, 2022)</w:t>
      </w:r>
      <w:r w:rsidR="00624F33">
        <w:t xml:space="preserve"> and summarized below.</w:t>
      </w:r>
    </w:p>
    <w:p w14:paraId="570202B9" w14:textId="77777777" w:rsidR="00637043" w:rsidRPr="003F3CB6" w:rsidRDefault="00637043" w:rsidP="00671A5B">
      <w:pPr>
        <w:spacing w:after="0"/>
      </w:pPr>
    </w:p>
    <w:p w14:paraId="1981E8E2" w14:textId="7DD75352" w:rsidR="00DD0C87" w:rsidRPr="0072179E" w:rsidRDefault="00DD0C87" w:rsidP="00DD0C87">
      <w:pPr>
        <w:pStyle w:val="NormalWeb"/>
        <w:spacing w:after="0"/>
        <w:rPr>
          <w:color w:val="000000"/>
        </w:rPr>
      </w:pPr>
      <w:bookmarkStart w:id="50" w:name="_Toc36532686"/>
      <w:bookmarkEnd w:id="50"/>
      <w:r w:rsidRPr="00435C2F">
        <w:rPr>
          <w:color w:val="000000"/>
        </w:rPr>
        <w:lastRenderedPageBreak/>
        <w:t>Oregon and Washington have consistent GBT criteria in their WQS.  Per the more restrictive Washington WQS</w:t>
      </w:r>
      <w:r w:rsidRPr="00435C2F">
        <w:rPr>
          <w:rStyle w:val="FootnoteReference"/>
          <w:color w:val="000000"/>
        </w:rPr>
        <w:footnoteReference w:id="13"/>
      </w:r>
      <w:r w:rsidRPr="00435C2F">
        <w:rPr>
          <w:color w:val="000000"/>
        </w:rPr>
        <w:t xml:space="preserve">, </w:t>
      </w:r>
      <w:r w:rsidRPr="00435C2F">
        <w:rPr>
          <w:i/>
          <w:color w:val="000000"/>
        </w:rPr>
        <w:t xml:space="preserve">TDG must be reduced to </w:t>
      </w:r>
      <w:r w:rsidRPr="00435C2F">
        <w:rPr>
          <w:color w:val="000000"/>
        </w:rPr>
        <w:t xml:space="preserve">115% forebay/ 120% tailwater </w:t>
      </w:r>
      <w:r w:rsidRPr="00435C2F">
        <w:rPr>
          <w:i/>
          <w:color w:val="000000"/>
        </w:rPr>
        <w:t>if the calculated incidence of gas bubble trauma in salmonids (with a minimum sample s</w:t>
      </w:r>
      <w:r w:rsidRPr="0072179E">
        <w:rPr>
          <w:i/>
          <w:color w:val="000000"/>
        </w:rPr>
        <w:t xml:space="preserve">ize of fifty fish required weekly) or </w:t>
      </w:r>
      <w:proofErr w:type="spellStart"/>
      <w:r w:rsidRPr="0072179E">
        <w:rPr>
          <w:i/>
          <w:color w:val="000000"/>
        </w:rPr>
        <w:t>non salmonids</w:t>
      </w:r>
      <w:proofErr w:type="spellEnd"/>
      <w:r w:rsidRPr="0072179E">
        <w:rPr>
          <w:i/>
          <w:color w:val="000000"/>
        </w:rPr>
        <w:t xml:space="preserve"> (with a minimum sample size of fifty fish required weekly) </w:t>
      </w:r>
      <w:r w:rsidRPr="00671A5B">
        <w:rPr>
          <w:b/>
          <w:bCs/>
          <w:i/>
          <w:color w:val="000000"/>
        </w:rPr>
        <w:t>exceeds</w:t>
      </w:r>
      <w:r w:rsidRPr="0072179E">
        <w:rPr>
          <w:i/>
          <w:color w:val="000000"/>
        </w:rPr>
        <w:t>:</w:t>
      </w:r>
      <w:r w:rsidRPr="0072179E">
        <w:rPr>
          <w:color w:val="000000"/>
        </w:rPr>
        <w:t xml:space="preserve"> </w:t>
      </w:r>
    </w:p>
    <w:p w14:paraId="27CFE365" w14:textId="155F9B28" w:rsidR="00DD0C87" w:rsidRPr="00435C2F" w:rsidRDefault="00DD0C87" w:rsidP="00DD0C87">
      <w:pPr>
        <w:pStyle w:val="NormalWeb"/>
        <w:numPr>
          <w:ilvl w:val="0"/>
          <w:numId w:val="21"/>
        </w:numPr>
        <w:spacing w:after="0"/>
        <w:rPr>
          <w:i/>
          <w:color w:val="000000"/>
        </w:rPr>
      </w:pPr>
      <w:r w:rsidRPr="00435C2F">
        <w:rPr>
          <w:i/>
          <w:color w:val="000000"/>
        </w:rPr>
        <w:t xml:space="preserve">Gas bubble trauma in non-paired fins of 15 percent. </w:t>
      </w:r>
      <w:r w:rsidRPr="00435C2F">
        <w:rPr>
          <w:color w:val="000000"/>
        </w:rPr>
        <w:t>Sum of rank 1 to 4 / sum of all the samples &gt; 15% (</w:t>
      </w:r>
      <w:r w:rsidR="00500A0F" w:rsidRPr="00435C2F">
        <w:rPr>
          <w:color w:val="000000"/>
        </w:rPr>
        <w:fldChar w:fldCharType="begin"/>
      </w:r>
      <w:r w:rsidR="00500A0F" w:rsidRPr="00435C2F">
        <w:rPr>
          <w:color w:val="000000"/>
        </w:rPr>
        <w:instrText xml:space="preserve"> REF _Ref36481165 \h </w:instrText>
      </w:r>
      <w:r w:rsidR="00500A0F" w:rsidRPr="00435C2F">
        <w:rPr>
          <w:color w:val="000000"/>
        </w:rPr>
      </w:r>
      <w:r w:rsidR="00500A0F" w:rsidRPr="00435C2F">
        <w:rPr>
          <w:color w:val="000000"/>
        </w:rPr>
        <w:fldChar w:fldCharType="separate"/>
      </w:r>
      <w:r w:rsidR="00500A0F" w:rsidRPr="00435C2F">
        <w:t xml:space="preserve">Table </w:t>
      </w:r>
      <w:r w:rsidR="00500A0F" w:rsidRPr="00435C2F">
        <w:rPr>
          <w:noProof/>
        </w:rPr>
        <w:t>4</w:t>
      </w:r>
      <w:r w:rsidR="00500A0F" w:rsidRPr="00435C2F">
        <w:rPr>
          <w:color w:val="000000"/>
        </w:rPr>
        <w:fldChar w:fldCharType="end"/>
      </w:r>
      <w:r w:rsidRPr="00435C2F">
        <w:rPr>
          <w:color w:val="000000"/>
        </w:rPr>
        <w:t>),</w:t>
      </w:r>
      <w:r w:rsidRPr="00435C2F">
        <w:rPr>
          <w:i/>
          <w:color w:val="000000"/>
        </w:rPr>
        <w:t xml:space="preserve"> or</w:t>
      </w:r>
    </w:p>
    <w:p w14:paraId="6D536EFF" w14:textId="4F7C7BF3" w:rsidR="00DD0C87" w:rsidRPr="00435C2F" w:rsidRDefault="00DD0C87" w:rsidP="00DD0C87">
      <w:pPr>
        <w:pStyle w:val="NormalWeb"/>
        <w:numPr>
          <w:ilvl w:val="0"/>
          <w:numId w:val="21"/>
        </w:numPr>
        <w:spacing w:after="0"/>
        <w:rPr>
          <w:i/>
          <w:color w:val="000000"/>
        </w:rPr>
      </w:pPr>
      <w:r w:rsidRPr="00435C2F">
        <w:rPr>
          <w:i/>
          <w:color w:val="000000"/>
        </w:rPr>
        <w:t xml:space="preserve">Gas bubble trauma in non-paired fins of five percent and gas bubbles occlude more than 25 percent of the surface area of the fin. </w:t>
      </w:r>
      <w:r w:rsidRPr="00435C2F">
        <w:rPr>
          <w:color w:val="000000"/>
        </w:rPr>
        <w:t xml:space="preserve">Sum of rank 3 to 4 / </w:t>
      </w:r>
      <w:r w:rsidRPr="0072179E">
        <w:rPr>
          <w:color w:val="000000"/>
        </w:rPr>
        <w:t>su</w:t>
      </w:r>
      <w:r w:rsidR="00500A0F" w:rsidRPr="0072179E">
        <w:rPr>
          <w:color w:val="000000"/>
        </w:rPr>
        <w:t>m of all the samples &gt; 5% (</w:t>
      </w:r>
      <w:r w:rsidR="00500A0F" w:rsidRPr="00435C2F">
        <w:rPr>
          <w:color w:val="000000"/>
        </w:rPr>
        <w:fldChar w:fldCharType="begin"/>
      </w:r>
      <w:r w:rsidR="00500A0F" w:rsidRPr="00435C2F">
        <w:rPr>
          <w:color w:val="000000"/>
        </w:rPr>
        <w:instrText xml:space="preserve"> REF _Ref36481165 \h </w:instrText>
      </w:r>
      <w:r w:rsidR="00500A0F" w:rsidRPr="00435C2F">
        <w:rPr>
          <w:color w:val="000000"/>
        </w:rPr>
      </w:r>
      <w:r w:rsidR="00500A0F" w:rsidRPr="00435C2F">
        <w:rPr>
          <w:color w:val="000000"/>
        </w:rPr>
        <w:fldChar w:fldCharType="separate"/>
      </w:r>
      <w:r w:rsidR="00500A0F" w:rsidRPr="00435C2F">
        <w:t xml:space="preserve">Table </w:t>
      </w:r>
      <w:r w:rsidR="00500A0F" w:rsidRPr="00435C2F">
        <w:rPr>
          <w:noProof/>
        </w:rPr>
        <w:t>4</w:t>
      </w:r>
      <w:r w:rsidR="00500A0F" w:rsidRPr="00435C2F">
        <w:rPr>
          <w:color w:val="000000"/>
        </w:rPr>
        <w:fldChar w:fldCharType="end"/>
      </w:r>
      <w:r w:rsidRPr="00435C2F">
        <w:rPr>
          <w:color w:val="000000"/>
        </w:rPr>
        <w:t>).</w:t>
      </w:r>
    </w:p>
    <w:p w14:paraId="34D611E7" w14:textId="032F6554" w:rsidR="00DD0C87" w:rsidRDefault="00DD0C87" w:rsidP="00DD0C87">
      <w:pPr>
        <w:pStyle w:val="NormalWeb"/>
        <w:spacing w:after="0"/>
        <w:rPr>
          <w:i/>
          <w:color w:val="000000"/>
        </w:rPr>
      </w:pPr>
    </w:p>
    <w:p w14:paraId="4C4EED21" w14:textId="053EE1AD" w:rsidR="00637043" w:rsidRPr="00435C2F" w:rsidRDefault="00637043" w:rsidP="00DD0C87">
      <w:pPr>
        <w:pStyle w:val="NormalWeb"/>
        <w:spacing w:after="0"/>
        <w:rPr>
          <w:i/>
          <w:color w:val="000000"/>
        </w:rPr>
      </w:pPr>
      <w:r>
        <w:rPr>
          <w:rFonts w:cstheme="minorHAnsi"/>
        </w:rPr>
        <w:t xml:space="preserve">Washington and Oregon have indicated that sample size in and of itself was not intended to be an additional action criterion for reducing spill up to 125 percent TDG.  </w:t>
      </w:r>
      <w:r w:rsidR="004F4F75">
        <w:rPr>
          <w:rFonts w:cstheme="minorHAnsi"/>
        </w:rPr>
        <w:t xml:space="preserve">Additionally, the </w:t>
      </w:r>
      <w:r>
        <w:rPr>
          <w:rFonts w:cstheme="minorHAnsi"/>
        </w:rPr>
        <w:t xml:space="preserve">states </w:t>
      </w:r>
      <w:r w:rsidR="004F4F75">
        <w:rPr>
          <w:rFonts w:cstheme="minorHAnsi"/>
        </w:rPr>
        <w:t xml:space="preserve">have indicated that the GBT thresholds are applicable to all sample sizes.  </w:t>
      </w:r>
    </w:p>
    <w:p w14:paraId="24E350CF" w14:textId="4B5B9D0A" w:rsidR="00500A0F" w:rsidRDefault="00500A0F" w:rsidP="0055169A">
      <w:pPr>
        <w:pStyle w:val="Caption"/>
        <w:keepNext/>
        <w:jc w:val="center"/>
      </w:pPr>
      <w:bookmarkStart w:id="51" w:name="_Ref36481165"/>
      <w:r w:rsidRPr="00435C2F">
        <w:t xml:space="preserve">Table </w:t>
      </w:r>
      <w:r w:rsidR="0095501F">
        <w:rPr>
          <w:noProof/>
        </w:rPr>
        <w:fldChar w:fldCharType="begin"/>
      </w:r>
      <w:r w:rsidR="0095501F">
        <w:rPr>
          <w:noProof/>
        </w:rPr>
        <w:instrText xml:space="preserve"> SEQ Table \* ARABIC </w:instrText>
      </w:r>
      <w:r w:rsidR="0095501F">
        <w:rPr>
          <w:noProof/>
        </w:rPr>
        <w:fldChar w:fldCharType="separate"/>
      </w:r>
      <w:r w:rsidRPr="005F46EB">
        <w:rPr>
          <w:noProof/>
        </w:rPr>
        <w:t>4</w:t>
      </w:r>
      <w:r w:rsidR="0095501F">
        <w:rPr>
          <w:noProof/>
        </w:rPr>
        <w:fldChar w:fldCharType="end"/>
      </w:r>
      <w:bookmarkEnd w:id="51"/>
      <w:r w:rsidRPr="005F46EB">
        <w:t xml:space="preserve">.  </w:t>
      </w:r>
      <w:r w:rsidRPr="00435C2F">
        <w:rPr>
          <w:color w:val="000000"/>
          <w:sz w:val="22"/>
          <w:szCs w:val="22"/>
        </w:rPr>
        <w:t>Description of GBT rankings</w:t>
      </w:r>
      <w:r w:rsidRPr="00F81F70">
        <w:t>.</w:t>
      </w:r>
    </w:p>
    <w:tbl>
      <w:tblPr>
        <w:tblStyle w:val="GridTable1Light"/>
        <w:tblW w:w="7735" w:type="dxa"/>
        <w:jc w:val="center"/>
        <w:tblLook w:val="04A0" w:firstRow="1" w:lastRow="0" w:firstColumn="1" w:lastColumn="0" w:noHBand="0" w:noVBand="1"/>
      </w:tblPr>
      <w:tblGrid>
        <w:gridCol w:w="1323"/>
        <w:gridCol w:w="4612"/>
        <w:gridCol w:w="1800"/>
      </w:tblGrid>
      <w:tr w:rsidR="00C44931" w14:paraId="7076AEFB" w14:textId="7DF57267" w:rsidTr="004B0D67">
        <w:trPr>
          <w:cnfStyle w:val="100000000000" w:firstRow="1" w:lastRow="0" w:firstColumn="0" w:lastColumn="0" w:oddVBand="0" w:evenVBand="0" w:oddHBand="0" w:evenHBand="0" w:firstRowFirstColumn="0" w:firstRowLastColumn="0" w:lastRowFirstColumn="0" w:lastRowLastColumn="0"/>
          <w:cantSplit/>
          <w:trHeight w:val="135"/>
          <w:jc w:val="center"/>
        </w:trPr>
        <w:tc>
          <w:tcPr>
            <w:cnfStyle w:val="001000000000" w:firstRow="0" w:lastRow="0" w:firstColumn="1" w:lastColumn="0" w:oddVBand="0" w:evenVBand="0" w:oddHBand="0" w:evenHBand="0" w:firstRowFirstColumn="0" w:firstRowLastColumn="0" w:lastRowFirstColumn="0" w:lastRowLastColumn="0"/>
            <w:tcW w:w="1323" w:type="dxa"/>
          </w:tcPr>
          <w:p w14:paraId="6688B3E4" w14:textId="47DF70B2" w:rsidR="00C44931" w:rsidRDefault="00C44931" w:rsidP="004B0D67">
            <w:pPr>
              <w:keepNext/>
              <w:spacing w:after="0"/>
              <w:jc w:val="center"/>
            </w:pPr>
            <w:r>
              <w:t>GBT Rank</w:t>
            </w:r>
          </w:p>
        </w:tc>
        <w:tc>
          <w:tcPr>
            <w:tcW w:w="4612" w:type="dxa"/>
          </w:tcPr>
          <w:p w14:paraId="256A0CB8" w14:textId="22CF2F71" w:rsidR="00C44931" w:rsidRDefault="00C44931" w:rsidP="004B0D67">
            <w:pPr>
              <w:keepNext/>
              <w:spacing w:after="0"/>
              <w:jc w:val="center"/>
              <w:cnfStyle w:val="100000000000" w:firstRow="1" w:lastRow="0" w:firstColumn="0" w:lastColumn="0" w:oddVBand="0" w:evenVBand="0" w:oddHBand="0" w:evenHBand="0" w:firstRowFirstColumn="0" w:firstRowLastColumn="0" w:lastRowFirstColumn="0" w:lastRowLastColumn="0"/>
            </w:pPr>
            <w:r>
              <w:t>Description</w:t>
            </w:r>
          </w:p>
        </w:tc>
        <w:tc>
          <w:tcPr>
            <w:tcW w:w="1800" w:type="dxa"/>
          </w:tcPr>
          <w:p w14:paraId="4C32DC51" w14:textId="52480884" w:rsidR="00C44931" w:rsidRDefault="00C44931" w:rsidP="004B0D67">
            <w:pPr>
              <w:keepNext/>
              <w:spacing w:after="0"/>
              <w:jc w:val="center"/>
              <w:cnfStyle w:val="100000000000" w:firstRow="1" w:lastRow="0" w:firstColumn="0" w:lastColumn="0" w:oddVBand="0" w:evenVBand="0" w:oddHBand="0" w:evenHBand="0" w:firstRowFirstColumn="0" w:firstRowLastColumn="0" w:lastRowFirstColumn="0" w:lastRowLastColumn="0"/>
            </w:pPr>
            <w:r>
              <w:t>“Severe” per FPC report</w:t>
            </w:r>
          </w:p>
        </w:tc>
      </w:tr>
      <w:tr w:rsidR="00C44931" w14:paraId="06484958" w14:textId="563AF5DA" w:rsidTr="004B0D67">
        <w:trPr>
          <w:cantSplit/>
          <w:trHeight w:val="135"/>
          <w:jc w:val="center"/>
        </w:trPr>
        <w:tc>
          <w:tcPr>
            <w:cnfStyle w:val="001000000000" w:firstRow="0" w:lastRow="0" w:firstColumn="1" w:lastColumn="0" w:oddVBand="0" w:evenVBand="0" w:oddHBand="0" w:evenHBand="0" w:firstRowFirstColumn="0" w:firstRowLastColumn="0" w:lastRowFirstColumn="0" w:lastRowLastColumn="0"/>
            <w:tcW w:w="1323" w:type="dxa"/>
          </w:tcPr>
          <w:p w14:paraId="1423BF9C" w14:textId="10D143AC" w:rsidR="00C44931" w:rsidRDefault="00C44931" w:rsidP="004B0D67">
            <w:pPr>
              <w:keepNext/>
              <w:spacing w:after="0"/>
              <w:jc w:val="center"/>
            </w:pPr>
            <w:r>
              <w:t>Rank 0</w:t>
            </w:r>
          </w:p>
        </w:tc>
        <w:tc>
          <w:tcPr>
            <w:tcW w:w="4612" w:type="dxa"/>
          </w:tcPr>
          <w:p w14:paraId="3A7A70DB" w14:textId="1A966C59" w:rsidR="00C44931" w:rsidRDefault="00C44931" w:rsidP="004B0D67">
            <w:pPr>
              <w:keepNext/>
              <w:spacing w:after="0"/>
              <w:cnfStyle w:val="000000000000" w:firstRow="0" w:lastRow="0" w:firstColumn="0" w:lastColumn="0" w:oddVBand="0" w:evenVBand="0" w:oddHBand="0" w:evenHBand="0" w:firstRowFirstColumn="0" w:firstRowLastColumn="0" w:lastRowFirstColumn="0" w:lastRowLastColumn="0"/>
            </w:pPr>
            <w:r>
              <w:t>No Bubbles</w:t>
            </w:r>
          </w:p>
        </w:tc>
        <w:tc>
          <w:tcPr>
            <w:tcW w:w="1800" w:type="dxa"/>
          </w:tcPr>
          <w:p w14:paraId="2EF691A6" w14:textId="1C5B6CF2" w:rsidR="00C44931" w:rsidRDefault="00C44931" w:rsidP="004B0D67">
            <w:pPr>
              <w:keepNext/>
              <w:spacing w:after="0"/>
              <w:cnfStyle w:val="000000000000" w:firstRow="0" w:lastRow="0" w:firstColumn="0" w:lastColumn="0" w:oddVBand="0" w:evenVBand="0" w:oddHBand="0" w:evenHBand="0" w:firstRowFirstColumn="0" w:firstRowLastColumn="0" w:lastRowFirstColumn="0" w:lastRowLastColumn="0"/>
            </w:pPr>
            <w:r>
              <w:t>No</w:t>
            </w:r>
          </w:p>
        </w:tc>
      </w:tr>
      <w:tr w:rsidR="00C44931" w14:paraId="7F3933B9" w14:textId="443E64E5" w:rsidTr="004B0D67">
        <w:trPr>
          <w:cantSplit/>
          <w:trHeight w:val="135"/>
          <w:jc w:val="center"/>
        </w:trPr>
        <w:tc>
          <w:tcPr>
            <w:cnfStyle w:val="001000000000" w:firstRow="0" w:lastRow="0" w:firstColumn="1" w:lastColumn="0" w:oddVBand="0" w:evenVBand="0" w:oddHBand="0" w:evenHBand="0" w:firstRowFirstColumn="0" w:firstRowLastColumn="0" w:lastRowFirstColumn="0" w:lastRowLastColumn="0"/>
            <w:tcW w:w="1323" w:type="dxa"/>
          </w:tcPr>
          <w:p w14:paraId="1E3268E5" w14:textId="6DD4172F" w:rsidR="00C44931" w:rsidRDefault="00C44931" w:rsidP="004B0D67">
            <w:pPr>
              <w:keepNext/>
              <w:spacing w:after="0"/>
              <w:jc w:val="center"/>
            </w:pPr>
            <w:r>
              <w:t>Rank 1</w:t>
            </w:r>
          </w:p>
        </w:tc>
        <w:tc>
          <w:tcPr>
            <w:tcW w:w="4612" w:type="dxa"/>
          </w:tcPr>
          <w:p w14:paraId="0EEEEE50" w14:textId="018EB3AA" w:rsidR="00C44931" w:rsidRDefault="00C44931" w:rsidP="004B0D67">
            <w:pPr>
              <w:keepNext/>
              <w:spacing w:after="0"/>
              <w:cnfStyle w:val="000000000000" w:firstRow="0" w:lastRow="0" w:firstColumn="0" w:lastColumn="0" w:oddVBand="0" w:evenVBand="0" w:oddHBand="0" w:evenHBand="0" w:firstRowFirstColumn="0" w:firstRowLastColumn="0" w:lastRowFirstColumn="0" w:lastRowLastColumn="0"/>
            </w:pPr>
            <w:r>
              <w:t>1-5% of fin or eye is covered with bubbles</w:t>
            </w:r>
          </w:p>
        </w:tc>
        <w:tc>
          <w:tcPr>
            <w:tcW w:w="1800" w:type="dxa"/>
          </w:tcPr>
          <w:p w14:paraId="28B18BFF" w14:textId="1A29D170" w:rsidR="00C44931" w:rsidRDefault="00C44931" w:rsidP="004B0D67">
            <w:pPr>
              <w:keepNext/>
              <w:spacing w:after="0"/>
              <w:cnfStyle w:val="000000000000" w:firstRow="0" w:lastRow="0" w:firstColumn="0" w:lastColumn="0" w:oddVBand="0" w:evenVBand="0" w:oddHBand="0" w:evenHBand="0" w:firstRowFirstColumn="0" w:firstRowLastColumn="0" w:lastRowFirstColumn="0" w:lastRowLastColumn="0"/>
            </w:pPr>
            <w:r>
              <w:t>No</w:t>
            </w:r>
          </w:p>
        </w:tc>
      </w:tr>
      <w:tr w:rsidR="00C44931" w14:paraId="78A1AFB8" w14:textId="3E547135" w:rsidTr="004B0D67">
        <w:trPr>
          <w:cantSplit/>
          <w:trHeight w:val="135"/>
          <w:jc w:val="center"/>
        </w:trPr>
        <w:tc>
          <w:tcPr>
            <w:cnfStyle w:val="001000000000" w:firstRow="0" w:lastRow="0" w:firstColumn="1" w:lastColumn="0" w:oddVBand="0" w:evenVBand="0" w:oddHBand="0" w:evenHBand="0" w:firstRowFirstColumn="0" w:firstRowLastColumn="0" w:lastRowFirstColumn="0" w:lastRowLastColumn="0"/>
            <w:tcW w:w="1323" w:type="dxa"/>
          </w:tcPr>
          <w:p w14:paraId="5082370B" w14:textId="0D0D70A9" w:rsidR="00C44931" w:rsidRDefault="00C44931" w:rsidP="004B0D67">
            <w:pPr>
              <w:keepNext/>
              <w:spacing w:after="0"/>
              <w:jc w:val="center"/>
            </w:pPr>
            <w:r>
              <w:t>Rank 2</w:t>
            </w:r>
          </w:p>
        </w:tc>
        <w:tc>
          <w:tcPr>
            <w:tcW w:w="4612" w:type="dxa"/>
          </w:tcPr>
          <w:p w14:paraId="2E867E22" w14:textId="154C4549" w:rsidR="00C44931" w:rsidRDefault="00C44931" w:rsidP="004B0D67">
            <w:pPr>
              <w:keepNext/>
              <w:spacing w:after="0"/>
              <w:cnfStyle w:val="000000000000" w:firstRow="0" w:lastRow="0" w:firstColumn="0" w:lastColumn="0" w:oddVBand="0" w:evenVBand="0" w:oddHBand="0" w:evenHBand="0" w:firstRowFirstColumn="0" w:firstRowLastColumn="0" w:lastRowFirstColumn="0" w:lastRowLastColumn="0"/>
            </w:pPr>
            <w:r>
              <w:t>6-25% of fin or eye is covered with bubbles</w:t>
            </w:r>
          </w:p>
        </w:tc>
        <w:tc>
          <w:tcPr>
            <w:tcW w:w="1800" w:type="dxa"/>
          </w:tcPr>
          <w:p w14:paraId="4887C13D" w14:textId="30E86430" w:rsidR="00C44931" w:rsidRDefault="00C44931" w:rsidP="004B0D67">
            <w:pPr>
              <w:keepNext/>
              <w:spacing w:after="0"/>
              <w:cnfStyle w:val="000000000000" w:firstRow="0" w:lastRow="0" w:firstColumn="0" w:lastColumn="0" w:oddVBand="0" w:evenVBand="0" w:oddHBand="0" w:evenHBand="0" w:firstRowFirstColumn="0" w:firstRowLastColumn="0" w:lastRowFirstColumn="0" w:lastRowLastColumn="0"/>
            </w:pPr>
            <w:r>
              <w:t>No</w:t>
            </w:r>
          </w:p>
        </w:tc>
      </w:tr>
      <w:tr w:rsidR="00C44931" w14:paraId="30F29597" w14:textId="1B0D29D6" w:rsidTr="004B0D67">
        <w:trPr>
          <w:cantSplit/>
          <w:trHeight w:val="135"/>
          <w:jc w:val="center"/>
        </w:trPr>
        <w:tc>
          <w:tcPr>
            <w:cnfStyle w:val="001000000000" w:firstRow="0" w:lastRow="0" w:firstColumn="1" w:lastColumn="0" w:oddVBand="0" w:evenVBand="0" w:oddHBand="0" w:evenHBand="0" w:firstRowFirstColumn="0" w:firstRowLastColumn="0" w:lastRowFirstColumn="0" w:lastRowLastColumn="0"/>
            <w:tcW w:w="1323" w:type="dxa"/>
          </w:tcPr>
          <w:p w14:paraId="6DDF3015" w14:textId="6EDCA849" w:rsidR="00C44931" w:rsidRDefault="00C44931" w:rsidP="004B0D67">
            <w:pPr>
              <w:keepNext/>
              <w:spacing w:after="0"/>
              <w:jc w:val="center"/>
            </w:pPr>
            <w:r>
              <w:t>Rank 3</w:t>
            </w:r>
          </w:p>
        </w:tc>
        <w:tc>
          <w:tcPr>
            <w:tcW w:w="4612" w:type="dxa"/>
          </w:tcPr>
          <w:p w14:paraId="26449AC7" w14:textId="7B441E3A" w:rsidR="00C44931" w:rsidRDefault="00C44931" w:rsidP="004B0D67">
            <w:pPr>
              <w:keepNext/>
              <w:spacing w:after="0"/>
              <w:cnfStyle w:val="000000000000" w:firstRow="0" w:lastRow="0" w:firstColumn="0" w:lastColumn="0" w:oddVBand="0" w:evenVBand="0" w:oddHBand="0" w:evenHBand="0" w:firstRowFirstColumn="0" w:firstRowLastColumn="0" w:lastRowFirstColumn="0" w:lastRowLastColumn="0"/>
            </w:pPr>
            <w:r>
              <w:t>26-50% of fin or eye is covered with bubbles</w:t>
            </w:r>
          </w:p>
        </w:tc>
        <w:tc>
          <w:tcPr>
            <w:tcW w:w="1800" w:type="dxa"/>
          </w:tcPr>
          <w:p w14:paraId="630AC710" w14:textId="1B4F8EDC" w:rsidR="00C44931" w:rsidRDefault="00C44931" w:rsidP="004B0D67">
            <w:pPr>
              <w:keepNext/>
              <w:spacing w:after="0"/>
              <w:cnfStyle w:val="000000000000" w:firstRow="0" w:lastRow="0" w:firstColumn="0" w:lastColumn="0" w:oddVBand="0" w:evenVBand="0" w:oddHBand="0" w:evenHBand="0" w:firstRowFirstColumn="0" w:firstRowLastColumn="0" w:lastRowFirstColumn="0" w:lastRowLastColumn="0"/>
            </w:pPr>
            <w:r>
              <w:t>Yes</w:t>
            </w:r>
          </w:p>
        </w:tc>
      </w:tr>
      <w:tr w:rsidR="00C44931" w14:paraId="4C7F2B26" w14:textId="2F83A63A" w:rsidTr="004B0D67">
        <w:trPr>
          <w:cantSplit/>
          <w:trHeight w:val="135"/>
          <w:jc w:val="center"/>
        </w:trPr>
        <w:tc>
          <w:tcPr>
            <w:cnfStyle w:val="001000000000" w:firstRow="0" w:lastRow="0" w:firstColumn="1" w:lastColumn="0" w:oddVBand="0" w:evenVBand="0" w:oddHBand="0" w:evenHBand="0" w:firstRowFirstColumn="0" w:firstRowLastColumn="0" w:lastRowFirstColumn="0" w:lastRowLastColumn="0"/>
            <w:tcW w:w="1323" w:type="dxa"/>
          </w:tcPr>
          <w:p w14:paraId="65619EC4" w14:textId="7BBBF72F" w:rsidR="00C44931" w:rsidRDefault="00C44931" w:rsidP="004B0D67">
            <w:pPr>
              <w:keepNext/>
              <w:spacing w:after="0"/>
              <w:jc w:val="center"/>
            </w:pPr>
            <w:r>
              <w:t>Rank 4</w:t>
            </w:r>
          </w:p>
        </w:tc>
        <w:tc>
          <w:tcPr>
            <w:tcW w:w="4612" w:type="dxa"/>
          </w:tcPr>
          <w:p w14:paraId="6D14A808" w14:textId="69631AF2" w:rsidR="00C44931" w:rsidRDefault="00C44931" w:rsidP="004B0D67">
            <w:pPr>
              <w:keepNext/>
              <w:spacing w:after="0"/>
              <w:cnfStyle w:val="000000000000" w:firstRow="0" w:lastRow="0" w:firstColumn="0" w:lastColumn="0" w:oddVBand="0" w:evenVBand="0" w:oddHBand="0" w:evenHBand="0" w:firstRowFirstColumn="0" w:firstRowLastColumn="0" w:lastRowFirstColumn="0" w:lastRowLastColumn="0"/>
            </w:pPr>
            <w:r>
              <w:t>&gt;50% of fin or eye is covered with bubbles</w:t>
            </w:r>
          </w:p>
        </w:tc>
        <w:tc>
          <w:tcPr>
            <w:tcW w:w="1800" w:type="dxa"/>
          </w:tcPr>
          <w:p w14:paraId="688CCABF" w14:textId="3FAC8A0E" w:rsidR="00C44931" w:rsidRDefault="00C44931" w:rsidP="004B0D67">
            <w:pPr>
              <w:keepNext/>
              <w:spacing w:after="0"/>
              <w:cnfStyle w:val="000000000000" w:firstRow="0" w:lastRow="0" w:firstColumn="0" w:lastColumn="0" w:oddVBand="0" w:evenVBand="0" w:oddHBand="0" w:evenHBand="0" w:firstRowFirstColumn="0" w:firstRowLastColumn="0" w:lastRowFirstColumn="0" w:lastRowLastColumn="0"/>
            </w:pPr>
            <w:r>
              <w:t>Yes</w:t>
            </w:r>
          </w:p>
        </w:tc>
      </w:tr>
    </w:tbl>
    <w:p w14:paraId="1011A7DA" w14:textId="4B667527" w:rsidR="00DD0C87" w:rsidRPr="005F46EB" w:rsidRDefault="00163341" w:rsidP="00671A5B">
      <w:pPr>
        <w:pStyle w:val="NormalWeb"/>
        <w:spacing w:after="0"/>
        <w:ind w:left="810"/>
        <w:rPr>
          <w:color w:val="000000"/>
          <w:sz w:val="22"/>
        </w:rPr>
      </w:pPr>
      <w:r>
        <w:rPr>
          <w:color w:val="000000"/>
          <w:sz w:val="22"/>
        </w:rPr>
        <w:t>Modified f</w:t>
      </w:r>
      <w:r w:rsidR="00DD0C87" w:rsidRPr="005F46EB">
        <w:rPr>
          <w:color w:val="000000"/>
          <w:sz w:val="22"/>
        </w:rPr>
        <w:t xml:space="preserve">rom </w:t>
      </w:r>
      <w:r w:rsidRPr="00163341">
        <w:rPr>
          <w:rStyle w:val="Hyperlink"/>
          <w:sz w:val="22"/>
        </w:rPr>
        <w:t>https://www.fpc.org/documents/metadata/GBTMonitoringProtocol.pdf</w:t>
      </w:r>
    </w:p>
    <w:p w14:paraId="1061222D" w14:textId="77777777" w:rsidR="00DD0C87" w:rsidRPr="00435C2F" w:rsidRDefault="00DD0C87" w:rsidP="00DD0C87">
      <w:pPr>
        <w:pStyle w:val="NormalWeb"/>
        <w:spacing w:after="0"/>
        <w:rPr>
          <w:i/>
          <w:color w:val="000000"/>
        </w:rPr>
      </w:pPr>
    </w:p>
    <w:p w14:paraId="47850346" w14:textId="023AE55B" w:rsidR="00DD0C87" w:rsidRPr="0072179E" w:rsidRDefault="002F4AC4" w:rsidP="00E84A42">
      <w:pPr>
        <w:pStyle w:val="NormalWeb"/>
        <w:keepNext/>
        <w:spacing w:after="0"/>
      </w:pPr>
      <w:r>
        <w:rPr>
          <w:color w:val="000000"/>
        </w:rPr>
        <w:t xml:space="preserve">USGS and </w:t>
      </w:r>
      <w:proofErr w:type="spellStart"/>
      <w:r>
        <w:rPr>
          <w:color w:val="000000"/>
        </w:rPr>
        <w:t>FPC</w:t>
      </w:r>
      <w:proofErr w:type="spellEnd"/>
      <w:r w:rsidRPr="00435C2F">
        <w:rPr>
          <w:color w:val="000000"/>
        </w:rPr>
        <w:t xml:space="preserve"> </w:t>
      </w:r>
      <w:r w:rsidR="003B475E" w:rsidRPr="00435C2F">
        <w:rPr>
          <w:color w:val="000000"/>
        </w:rPr>
        <w:t xml:space="preserve">will email </w:t>
      </w:r>
      <w:proofErr w:type="spellStart"/>
      <w:r w:rsidR="003B475E" w:rsidRPr="00435C2F">
        <w:rPr>
          <w:color w:val="000000"/>
        </w:rPr>
        <w:t>GBT</w:t>
      </w:r>
      <w:proofErr w:type="spellEnd"/>
      <w:r w:rsidR="003B475E" w:rsidRPr="00435C2F">
        <w:rPr>
          <w:color w:val="000000"/>
        </w:rPr>
        <w:t xml:space="preserve"> monitoring results </w:t>
      </w:r>
      <w:r w:rsidR="00BD7E44">
        <w:rPr>
          <w:color w:val="000000"/>
        </w:rPr>
        <w:t xml:space="preserve">to the Corps RCC </w:t>
      </w:r>
      <w:r w:rsidR="003B475E" w:rsidRPr="00435C2F">
        <w:rPr>
          <w:color w:val="000000"/>
        </w:rPr>
        <w:t>as soon as they are available</w:t>
      </w:r>
      <w:r w:rsidR="003B475E" w:rsidRPr="0072179E">
        <w:rPr>
          <w:color w:val="000000"/>
        </w:rPr>
        <w:t xml:space="preserve">, typically on the afternoon on the day of collection.  </w:t>
      </w:r>
      <w:r w:rsidR="00E84A42" w:rsidRPr="0072179E">
        <w:rPr>
          <w:color w:val="000000"/>
        </w:rPr>
        <w:t>Publicly available</w:t>
      </w:r>
      <w:r w:rsidR="00DD0C87" w:rsidRPr="0072179E">
        <w:rPr>
          <w:color w:val="000000"/>
        </w:rPr>
        <w:t xml:space="preserve"> GBT data can be found here: </w:t>
      </w:r>
      <w:hyperlink r:id="rId8" w:history="1">
        <w:r w:rsidR="001A1869" w:rsidRPr="004716DA">
          <w:rPr>
            <w:rStyle w:val="Hyperlink"/>
          </w:rPr>
          <w:t>https://www.fpc.org/smolt/Q_smolt_smoltgbt_subsite.php</w:t>
        </w:r>
      </w:hyperlink>
      <w:r w:rsidR="001A1869">
        <w:t xml:space="preserve"> </w:t>
      </w:r>
      <w:r w:rsidR="00DD0C87" w:rsidRPr="00435C2F">
        <w:t>and a</w:t>
      </w:r>
      <w:r w:rsidR="00F56935">
        <w:t xml:space="preserve">n example </w:t>
      </w:r>
      <w:r w:rsidR="00DD0C87" w:rsidRPr="00435C2F">
        <w:t>screenshot of the 2-</w:t>
      </w:r>
      <w:r w:rsidR="00DD0C87" w:rsidRPr="00435C2F">
        <w:lastRenderedPageBreak/>
        <w:t xml:space="preserve">week summary is shown below in Figure 1.  The reported percent will be rounded to the nearest whole number for comparison to the criteria.  </w:t>
      </w:r>
    </w:p>
    <w:p w14:paraId="54DB73D0" w14:textId="77777777" w:rsidR="00DD0C87" w:rsidRPr="0072179E" w:rsidRDefault="00DD0C87" w:rsidP="00DD0C87">
      <w:pPr>
        <w:pStyle w:val="NormalWeb"/>
        <w:keepNext/>
        <w:spacing w:after="0"/>
      </w:pPr>
    </w:p>
    <w:p w14:paraId="01F6D52C" w14:textId="7E4BE38B" w:rsidR="00DD0C87" w:rsidRPr="00435C2F" w:rsidRDefault="000F7EB6" w:rsidP="00DD0C87">
      <w:pPr>
        <w:pStyle w:val="NormalWeb"/>
        <w:keepNext/>
        <w:spacing w:after="0"/>
      </w:pPr>
      <w:r>
        <w:rPr>
          <w:noProof/>
        </w:rPr>
        <w:drawing>
          <wp:inline distT="0" distB="0" distL="0" distR="0" wp14:anchorId="34A1C3E3" wp14:editId="40654CC0">
            <wp:extent cx="6553200" cy="3671134"/>
            <wp:effectExtent l="0" t="0" r="0" b="5715"/>
            <wp:docPr id="6" name="Picture 6" descr="Example of GBT monitoring report for LWG and LGS from FPC. The orange box highlights GBT in non-paired fins. The red box highlights GBT in non-paired fins with gas bubbles occluding more than 25 percent of the surface area of the fin. To determine exceedances of the criteria, these values will be rounded to the nearest whole numb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xample of GBT monitoring report for LWG and LGS from FPC. The orange box highlights GBT in non-paired fins. The red box highlights GBT in non-paired fins with gas bubbles occluding more than 25 percent of the surface area of the fin. To determine exceedances of the criteria, these values will be rounded to the nearest whole numbe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3834" cy="3677091"/>
                    </a:xfrm>
                    <a:prstGeom prst="rect">
                      <a:avLst/>
                    </a:prstGeom>
                    <a:noFill/>
                  </pic:spPr>
                </pic:pic>
              </a:graphicData>
            </a:graphic>
          </wp:inline>
        </w:drawing>
      </w:r>
    </w:p>
    <w:p w14:paraId="755CADF5" w14:textId="7944FA76" w:rsidR="00DD0C87" w:rsidRPr="0072179E" w:rsidRDefault="00DD0C87" w:rsidP="00DD0C87">
      <w:pPr>
        <w:pStyle w:val="Caption"/>
        <w:rPr>
          <w:sz w:val="24"/>
          <w:szCs w:val="24"/>
        </w:rPr>
      </w:pPr>
      <w:r w:rsidRPr="00435C2F">
        <w:t xml:space="preserve">Figure </w:t>
      </w:r>
      <w:r w:rsidRPr="00435C2F">
        <w:rPr>
          <w:noProof/>
        </w:rPr>
        <w:fldChar w:fldCharType="begin"/>
      </w:r>
      <w:r w:rsidRPr="00435C2F">
        <w:rPr>
          <w:noProof/>
        </w:rPr>
        <w:instrText xml:space="preserve"> SEQ Figure \* ARABIC </w:instrText>
      </w:r>
      <w:r w:rsidRPr="00435C2F">
        <w:rPr>
          <w:noProof/>
        </w:rPr>
        <w:fldChar w:fldCharType="separate"/>
      </w:r>
      <w:r w:rsidR="00500A0F" w:rsidRPr="00435C2F">
        <w:rPr>
          <w:noProof/>
        </w:rPr>
        <w:t>1</w:t>
      </w:r>
      <w:r w:rsidRPr="00435C2F">
        <w:rPr>
          <w:noProof/>
        </w:rPr>
        <w:fldChar w:fldCharType="end"/>
      </w:r>
      <w:r w:rsidRPr="00435C2F">
        <w:t>: Example of</w:t>
      </w:r>
      <w:r w:rsidR="00F56935">
        <w:t xml:space="preserve"> salmonid</w:t>
      </w:r>
      <w:r w:rsidRPr="00435C2F">
        <w:t xml:space="preserve"> GBT monitoring report for LWG and LGS from FPC. The orange box highlights GBT in non-paired fins. The red box highlights GBT in non-paired fins with gas bubbles occluding more than 25 percent of the surface area of the fin. To determine exceedances of the criteria, these values will be rounded to the nearest whole number. </w:t>
      </w:r>
    </w:p>
    <w:p w14:paraId="6825759E" w14:textId="77777777" w:rsidR="003F0B3A" w:rsidRPr="0072179E" w:rsidRDefault="003F0B3A" w:rsidP="009A6257">
      <w:pPr>
        <w:spacing w:after="0"/>
        <w:rPr>
          <w:bCs/>
          <w:iCs/>
        </w:rPr>
      </w:pPr>
    </w:p>
    <w:p w14:paraId="3FA5582A" w14:textId="0A92E86A" w:rsidR="009B7EB0" w:rsidRPr="00435C2F" w:rsidRDefault="00175D52" w:rsidP="005F46EB">
      <w:pPr>
        <w:rPr>
          <w:rFonts w:eastAsiaTheme="minorHAnsi"/>
        </w:rPr>
      </w:pPr>
      <w:r>
        <w:rPr>
          <w:rFonts w:eastAsiaTheme="minorHAnsi"/>
        </w:rPr>
        <w:t>If</w:t>
      </w:r>
      <w:r w:rsidR="00612F38" w:rsidRPr="0072179E">
        <w:rPr>
          <w:rFonts w:eastAsiaTheme="minorHAnsi"/>
        </w:rPr>
        <w:t xml:space="preserve"> </w:t>
      </w:r>
      <w:r>
        <w:rPr>
          <w:rFonts w:eastAsiaTheme="minorHAnsi"/>
        </w:rPr>
        <w:t>a</w:t>
      </w:r>
      <w:r w:rsidR="00612F38" w:rsidRPr="0072179E">
        <w:rPr>
          <w:rFonts w:eastAsiaTheme="minorHAnsi"/>
        </w:rPr>
        <w:t xml:space="preserve"> </w:t>
      </w:r>
      <w:r w:rsidR="00612F38" w:rsidRPr="00F81F70">
        <w:rPr>
          <w:rFonts w:eastAsiaTheme="minorHAnsi"/>
        </w:rPr>
        <w:t xml:space="preserve">GBT </w:t>
      </w:r>
      <w:r w:rsidR="000D0348">
        <w:rPr>
          <w:rFonts w:eastAsiaTheme="minorHAnsi"/>
        </w:rPr>
        <w:t>criterion</w:t>
      </w:r>
      <w:r w:rsidR="000D0348" w:rsidRPr="00F81F70">
        <w:rPr>
          <w:rFonts w:eastAsiaTheme="minorHAnsi"/>
        </w:rPr>
        <w:t xml:space="preserve"> </w:t>
      </w:r>
      <w:r w:rsidR="00612F38" w:rsidRPr="00F81F70">
        <w:rPr>
          <w:rFonts w:eastAsiaTheme="minorHAnsi"/>
        </w:rPr>
        <w:t xml:space="preserve">is exceeded at a monitoring location, the TDG criteria in that geographic zone </w:t>
      </w:r>
      <w:r>
        <w:rPr>
          <w:rFonts w:eastAsiaTheme="minorHAnsi"/>
        </w:rPr>
        <w:t xml:space="preserve">will </w:t>
      </w:r>
      <w:r w:rsidR="00612F38" w:rsidRPr="00F81F70">
        <w:rPr>
          <w:rFonts w:eastAsiaTheme="minorHAnsi"/>
        </w:rPr>
        <w:t xml:space="preserve">be reduced to </w:t>
      </w:r>
      <w:r w:rsidR="00D10AB1" w:rsidRPr="00435C2F">
        <w:rPr>
          <w:color w:val="000000"/>
        </w:rPr>
        <w:t>115% forebay</w:t>
      </w:r>
      <w:r w:rsidR="0020661C">
        <w:rPr>
          <w:color w:val="000000"/>
        </w:rPr>
        <w:t xml:space="preserve"> </w:t>
      </w:r>
      <w:r w:rsidR="00D10AB1" w:rsidRPr="00435C2F">
        <w:rPr>
          <w:color w:val="000000"/>
        </w:rPr>
        <w:t xml:space="preserve">/ 120% tailwater </w:t>
      </w:r>
      <w:proofErr w:type="spellStart"/>
      <w:r w:rsidR="00612F38" w:rsidRPr="00F81F70">
        <w:rPr>
          <w:rFonts w:eastAsiaTheme="minorHAnsi"/>
        </w:rPr>
        <w:t>TDG</w:t>
      </w:r>
      <w:proofErr w:type="spellEnd"/>
      <w:r w:rsidR="00612F38" w:rsidRPr="00F81F70">
        <w:rPr>
          <w:rFonts w:eastAsiaTheme="minorHAnsi"/>
        </w:rPr>
        <w:t>.</w:t>
      </w:r>
      <w:r w:rsidR="002167D4">
        <w:rPr>
          <w:rFonts w:eastAsiaTheme="minorHAnsi"/>
        </w:rPr>
        <w:t xml:space="preserve">  </w:t>
      </w:r>
      <w:r w:rsidR="00180B18">
        <w:rPr>
          <w:rFonts w:eastAsiaTheme="minorHAnsi"/>
        </w:rPr>
        <w:t xml:space="preserve">Spill rates will be set at the “performance standard” (see FOP) and reduced if the 115% forebay / 120% tailwater </w:t>
      </w:r>
      <w:proofErr w:type="spellStart"/>
      <w:r w:rsidR="00180B18">
        <w:rPr>
          <w:rFonts w:eastAsiaTheme="minorHAnsi"/>
        </w:rPr>
        <w:t>TDG</w:t>
      </w:r>
      <w:proofErr w:type="spellEnd"/>
      <w:r w:rsidR="00180B18">
        <w:rPr>
          <w:rFonts w:eastAsiaTheme="minorHAnsi"/>
        </w:rPr>
        <w:t xml:space="preserve"> is exceeded.</w:t>
      </w:r>
      <w:r w:rsidR="0052097E" w:rsidRPr="00F81F70">
        <w:rPr>
          <w:rFonts w:eastAsiaTheme="minorHAnsi"/>
        </w:rPr>
        <w:t xml:space="preserve">  </w:t>
      </w:r>
      <w:r w:rsidR="0052097E" w:rsidRPr="00435C2F">
        <w:rPr>
          <w:color w:val="000000"/>
        </w:rPr>
        <w:t xml:space="preserve">The reduction will be made as part of the daily spill decision </w:t>
      </w:r>
      <w:r w:rsidR="000D0348">
        <w:rPr>
          <w:color w:val="000000"/>
        </w:rPr>
        <w:t xml:space="preserve">by </w:t>
      </w:r>
      <w:r w:rsidR="0052097E" w:rsidRPr="00435C2F">
        <w:rPr>
          <w:color w:val="000000"/>
        </w:rPr>
        <w:t xml:space="preserve">no later than 1100 </w:t>
      </w:r>
      <w:r w:rsidR="00934951">
        <w:rPr>
          <w:color w:val="000000"/>
        </w:rPr>
        <w:t xml:space="preserve">hours </w:t>
      </w:r>
      <w:r w:rsidR="0052097E" w:rsidRPr="00435C2F">
        <w:rPr>
          <w:color w:val="000000"/>
        </w:rPr>
        <w:t xml:space="preserve">and </w:t>
      </w:r>
      <w:r w:rsidR="006D4E09">
        <w:rPr>
          <w:color w:val="000000"/>
        </w:rPr>
        <w:t xml:space="preserve">new spill caps will be sent by no later than 1400 hours that day. </w:t>
      </w:r>
      <w:r w:rsidR="00800235">
        <w:rPr>
          <w:color w:val="000000"/>
        </w:rPr>
        <w:t xml:space="preserve">GBT data received by </w:t>
      </w:r>
      <w:r w:rsidR="005F18D7">
        <w:rPr>
          <w:color w:val="000000"/>
        </w:rPr>
        <w:t>1000</w:t>
      </w:r>
      <w:r w:rsidR="00800235">
        <w:rPr>
          <w:color w:val="000000"/>
        </w:rPr>
        <w:t xml:space="preserve"> </w:t>
      </w:r>
      <w:r w:rsidR="007B4C55">
        <w:rPr>
          <w:color w:val="000000"/>
        </w:rPr>
        <w:t xml:space="preserve">hours </w:t>
      </w:r>
      <w:r w:rsidR="00800235">
        <w:rPr>
          <w:color w:val="000000"/>
        </w:rPr>
        <w:t xml:space="preserve">will be incorporated into the daily spill review process for the same day, otherwise it will be factored into the following day’s evaluation.  </w:t>
      </w:r>
      <w:r w:rsidR="00F56935">
        <w:rPr>
          <w:color w:val="000000"/>
        </w:rPr>
        <w:t xml:space="preserve">If projects are forced to spill above 125% TDG levels due to </w:t>
      </w:r>
      <w:r w:rsidR="009B7EB0" w:rsidRPr="00435C2F">
        <w:rPr>
          <w:rFonts w:eastAsiaTheme="minorHAnsi"/>
        </w:rPr>
        <w:t>high river flow or lack of load</w:t>
      </w:r>
      <w:r w:rsidR="00F56935">
        <w:rPr>
          <w:rFonts w:eastAsiaTheme="minorHAnsi"/>
        </w:rPr>
        <w:t xml:space="preserve"> </w:t>
      </w:r>
      <w:r w:rsidR="009B7EB0" w:rsidRPr="00435C2F">
        <w:rPr>
          <w:rFonts w:eastAsiaTheme="minorHAnsi"/>
        </w:rPr>
        <w:t>conditions in the spring</w:t>
      </w:r>
      <w:r w:rsidR="00F56935">
        <w:rPr>
          <w:rFonts w:eastAsiaTheme="minorHAnsi"/>
        </w:rPr>
        <w:t xml:space="preserve">, </w:t>
      </w:r>
      <w:r w:rsidR="009B7EB0" w:rsidRPr="00435C2F">
        <w:rPr>
          <w:rFonts w:eastAsiaTheme="minorHAnsi"/>
        </w:rPr>
        <w:t>the following points will be applied:</w:t>
      </w:r>
    </w:p>
    <w:p w14:paraId="4BE6B749" w14:textId="70F73592" w:rsidR="006D4E09" w:rsidRPr="006D4E09" w:rsidRDefault="009B7EB0" w:rsidP="00C44931">
      <w:pPr>
        <w:pStyle w:val="ListParagraph"/>
        <w:numPr>
          <w:ilvl w:val="0"/>
          <w:numId w:val="25"/>
        </w:numPr>
        <w:tabs>
          <w:tab w:val="left" w:pos="360"/>
          <w:tab w:val="left" w:pos="810"/>
        </w:tabs>
        <w:autoSpaceDE w:val="0"/>
        <w:autoSpaceDN w:val="0"/>
        <w:adjustRightInd w:val="0"/>
        <w:spacing w:after="200"/>
        <w:rPr>
          <w:rFonts w:eastAsiaTheme="minorHAnsi"/>
        </w:rPr>
      </w:pPr>
      <w:r w:rsidRPr="006D4E09">
        <w:rPr>
          <w:rFonts w:eastAsiaTheme="minorHAnsi"/>
        </w:rPr>
        <w:t xml:space="preserve">GBT monitoring data shall be excluded from comparison to biological thresholds when </w:t>
      </w:r>
      <w:r w:rsidR="00D10AB1" w:rsidRPr="006D4E09">
        <w:rPr>
          <w:rFonts w:eastAsiaTheme="minorHAnsi"/>
        </w:rPr>
        <w:t>high river</w:t>
      </w:r>
      <w:r w:rsidR="00D10AB1">
        <w:rPr>
          <w:rFonts w:eastAsiaTheme="minorHAnsi"/>
        </w:rPr>
        <w:t xml:space="preserve"> </w:t>
      </w:r>
      <w:r w:rsidRPr="006D4E09">
        <w:rPr>
          <w:rFonts w:eastAsiaTheme="minorHAnsi"/>
        </w:rPr>
        <w:t>flow</w:t>
      </w:r>
      <w:r w:rsidR="00D10AB1">
        <w:rPr>
          <w:rFonts w:eastAsiaTheme="minorHAnsi"/>
        </w:rPr>
        <w:t>s</w:t>
      </w:r>
      <w:r w:rsidRPr="006D4E09">
        <w:rPr>
          <w:rFonts w:eastAsiaTheme="minorHAnsi"/>
        </w:rPr>
        <w:t xml:space="preserve"> result in excess spill above 125</w:t>
      </w:r>
      <w:r w:rsidR="00D10AB1">
        <w:rPr>
          <w:rFonts w:eastAsiaTheme="minorHAnsi"/>
        </w:rPr>
        <w:t>%</w:t>
      </w:r>
      <w:r w:rsidRPr="006D4E09">
        <w:rPr>
          <w:rFonts w:eastAsiaTheme="minorHAnsi"/>
        </w:rPr>
        <w:t xml:space="preserve"> TDG</w:t>
      </w:r>
      <w:r w:rsidR="006D4E09">
        <w:rPr>
          <w:rFonts w:eastAsiaTheme="minorHAnsi"/>
        </w:rPr>
        <w:t>.</w:t>
      </w:r>
    </w:p>
    <w:p w14:paraId="6C1968ED" w14:textId="6210BAA5" w:rsidR="009B7EB0" w:rsidRPr="006D4E09" w:rsidRDefault="009B7EB0" w:rsidP="00C44931">
      <w:pPr>
        <w:pStyle w:val="ListParagraph"/>
        <w:numPr>
          <w:ilvl w:val="0"/>
          <w:numId w:val="25"/>
        </w:numPr>
        <w:tabs>
          <w:tab w:val="left" w:pos="360"/>
          <w:tab w:val="left" w:pos="810"/>
        </w:tabs>
        <w:autoSpaceDE w:val="0"/>
        <w:autoSpaceDN w:val="0"/>
        <w:adjustRightInd w:val="0"/>
        <w:spacing w:after="200"/>
        <w:rPr>
          <w:rFonts w:eastAsiaTheme="minorHAnsi"/>
        </w:rPr>
      </w:pPr>
      <w:r w:rsidRPr="006D4E09">
        <w:rPr>
          <w:rFonts w:eastAsiaTheme="minorHAnsi"/>
        </w:rPr>
        <w:t>This monitoring data exclusion shall apply for one full calendar day after every project (that spills up to 125</w:t>
      </w:r>
      <w:r w:rsidR="00D10AB1">
        <w:rPr>
          <w:rFonts w:eastAsiaTheme="minorHAnsi"/>
        </w:rPr>
        <w:t>%</w:t>
      </w:r>
      <w:r w:rsidRPr="006D4E09">
        <w:rPr>
          <w:rFonts w:eastAsiaTheme="minorHAnsi"/>
        </w:rPr>
        <w:t xml:space="preserve"> TDG for fish passage) within an assigned zone is meeting the 125</w:t>
      </w:r>
      <w:r w:rsidR="00D10AB1">
        <w:rPr>
          <w:rFonts w:eastAsiaTheme="minorHAnsi"/>
        </w:rPr>
        <w:t>%</w:t>
      </w:r>
      <w:r w:rsidRPr="006D4E09">
        <w:rPr>
          <w:rFonts w:eastAsiaTheme="minorHAnsi"/>
        </w:rPr>
        <w:t xml:space="preserve"> TDG.</w:t>
      </w:r>
      <w:r w:rsidR="00D1467B">
        <w:rPr>
          <w:rFonts w:eastAsiaTheme="minorHAnsi"/>
        </w:rPr>
        <w:t xml:space="preserve">  For example, if there was </w:t>
      </w:r>
      <w:r w:rsidR="004A4FD7">
        <w:rPr>
          <w:rFonts w:eastAsiaTheme="minorHAnsi"/>
        </w:rPr>
        <w:t xml:space="preserve">forced </w:t>
      </w:r>
      <w:r w:rsidR="00D1467B">
        <w:rPr>
          <w:rFonts w:eastAsiaTheme="minorHAnsi"/>
        </w:rPr>
        <w:t xml:space="preserve">spill that resulted in TDG &gt;125% on Monday, the Corps would not consider GBT data collected on Monday or Tuesday in the spill decision.  </w:t>
      </w:r>
    </w:p>
    <w:p w14:paraId="36D093D2" w14:textId="7340C185" w:rsidR="0058528B" w:rsidRDefault="0058528B" w:rsidP="0058528B">
      <w:pPr>
        <w:tabs>
          <w:tab w:val="left" w:pos="360"/>
        </w:tabs>
        <w:autoSpaceDE w:val="0"/>
        <w:autoSpaceDN w:val="0"/>
        <w:adjustRightInd w:val="0"/>
        <w:rPr>
          <w:rFonts w:eastAsiaTheme="minorHAnsi"/>
        </w:rPr>
      </w:pPr>
      <w:r w:rsidRPr="00F81F70">
        <w:rPr>
          <w:rFonts w:eastAsiaTheme="minorHAnsi"/>
        </w:rPr>
        <w:lastRenderedPageBreak/>
        <w:t>The geographic zones include the lower Snake River zone (Lower Granite, Little Goose, Lower Monumental, and Ice Harbor dams) and the lower Columbia River zone (McNary, John Day, The Dalles, and Bonneville dams).  In the event an action criterion exceedance is detected at McNary Dam</w:t>
      </w:r>
      <w:r w:rsidR="0020661C">
        <w:rPr>
          <w:rFonts w:eastAsiaTheme="minorHAnsi"/>
        </w:rPr>
        <w:t xml:space="preserve"> forebay</w:t>
      </w:r>
      <w:r w:rsidRPr="00F81F70">
        <w:rPr>
          <w:rFonts w:eastAsiaTheme="minorHAnsi"/>
        </w:rPr>
        <w:t>, which is just below the confluence of the Snake and Columbia rivers, TDG levels in the middle Columbia River and lower Snake River would need to be evaluated to determine if the exceedance was the result of spill operations in the lower Snake River zone exclusively, or if conditions in the middle Columbia River were also contributing to the action criterion exceedance.  Generally, if an exceedance was observed at McNary Dam</w:t>
      </w:r>
      <w:r w:rsidR="0020661C">
        <w:rPr>
          <w:rFonts w:eastAsiaTheme="minorHAnsi"/>
        </w:rPr>
        <w:t xml:space="preserve"> forebay</w:t>
      </w:r>
      <w:r w:rsidRPr="00F81F70">
        <w:rPr>
          <w:rFonts w:eastAsiaTheme="minorHAnsi"/>
        </w:rPr>
        <w:t>, spill would be reduced at all projects in the lower Snake River zone.</w:t>
      </w:r>
      <w:r w:rsidR="0020661C">
        <w:rPr>
          <w:rFonts w:eastAsiaTheme="minorHAnsi"/>
        </w:rPr>
        <w:t xml:space="preserve">  If an exceedance is observed downstream of McNary, project</w:t>
      </w:r>
      <w:r w:rsidR="00637043">
        <w:rPr>
          <w:rFonts w:eastAsiaTheme="minorHAnsi"/>
        </w:rPr>
        <w:t>s</w:t>
      </w:r>
      <w:r w:rsidR="0020661C">
        <w:rPr>
          <w:rFonts w:eastAsiaTheme="minorHAnsi"/>
        </w:rPr>
        <w:t xml:space="preserve"> in the lower Columbia River zone would be reduced.</w:t>
      </w:r>
      <w:r w:rsidRPr="00F81F70">
        <w:rPr>
          <w:rFonts w:eastAsiaTheme="minorHAnsi"/>
        </w:rPr>
        <w:t xml:space="preserve">  If an exceedance was observed at Bonneville Dam, then spill at all projects in the lower Columbia River zone would be reduced, including Bonneville Dam.</w:t>
      </w:r>
      <w:r w:rsidR="006D4E09">
        <w:rPr>
          <w:rFonts w:eastAsiaTheme="minorHAnsi"/>
        </w:rPr>
        <w:t xml:space="preserve"> </w:t>
      </w:r>
      <w:r w:rsidR="006D4E09">
        <w:rPr>
          <w:rFonts w:eastAsiaTheme="minorHAnsi"/>
        </w:rPr>
        <w:fldChar w:fldCharType="begin"/>
      </w:r>
      <w:r w:rsidR="006D4E09">
        <w:rPr>
          <w:rFonts w:eastAsiaTheme="minorHAnsi"/>
        </w:rPr>
        <w:instrText xml:space="preserve"> REF _Ref36486299 \h </w:instrText>
      </w:r>
      <w:r w:rsidR="006D4E09">
        <w:rPr>
          <w:rFonts w:eastAsiaTheme="minorHAnsi"/>
        </w:rPr>
      </w:r>
      <w:r w:rsidR="006D4E09">
        <w:rPr>
          <w:rFonts w:eastAsiaTheme="minorHAnsi"/>
        </w:rPr>
        <w:fldChar w:fldCharType="separate"/>
      </w:r>
      <w:r w:rsidR="006D4E09" w:rsidRPr="00435C2F">
        <w:t xml:space="preserve">Table </w:t>
      </w:r>
      <w:r w:rsidR="006D4E09" w:rsidRPr="00435C2F">
        <w:rPr>
          <w:noProof/>
        </w:rPr>
        <w:t>7</w:t>
      </w:r>
      <w:r w:rsidR="006D4E09">
        <w:rPr>
          <w:rFonts w:eastAsiaTheme="minorHAnsi"/>
        </w:rPr>
        <w:fldChar w:fldCharType="end"/>
      </w:r>
      <w:r w:rsidR="006D4E09">
        <w:rPr>
          <w:rFonts w:eastAsiaTheme="minorHAnsi"/>
        </w:rPr>
        <w:t xml:space="preserve"> shows the extent of reduction if an exceedance is observed at any one of the six monitoring locations. </w:t>
      </w:r>
    </w:p>
    <w:p w14:paraId="390E861D" w14:textId="3DC7ECEA" w:rsidR="00500A0F" w:rsidRPr="0072179E" w:rsidRDefault="00500A0F" w:rsidP="00E75D4E">
      <w:pPr>
        <w:pStyle w:val="Caption"/>
        <w:spacing w:before="0" w:after="0"/>
      </w:pPr>
      <w:bookmarkStart w:id="52" w:name="_Ref36486299"/>
      <w:r w:rsidRPr="00435C2F">
        <w:t xml:space="preserve">Table </w:t>
      </w:r>
      <w:r w:rsidR="0095501F">
        <w:rPr>
          <w:noProof/>
        </w:rPr>
        <w:fldChar w:fldCharType="begin"/>
      </w:r>
      <w:r w:rsidR="0095501F">
        <w:rPr>
          <w:noProof/>
        </w:rPr>
        <w:instrText xml:space="preserve"> SEQ Table \* ARABIC </w:instrText>
      </w:r>
      <w:r w:rsidR="0095501F">
        <w:rPr>
          <w:noProof/>
        </w:rPr>
        <w:fldChar w:fldCharType="separate"/>
      </w:r>
      <w:r w:rsidRPr="00435C2F">
        <w:rPr>
          <w:noProof/>
        </w:rPr>
        <w:t>7</w:t>
      </w:r>
      <w:r w:rsidR="0095501F">
        <w:rPr>
          <w:noProof/>
        </w:rPr>
        <w:fldChar w:fldCharType="end"/>
      </w:r>
      <w:bookmarkEnd w:id="52"/>
      <w:r w:rsidRPr="00435C2F">
        <w:t>.  TDG criteria after a GBT exceedance finding</w:t>
      </w:r>
      <w:r w:rsidR="00C87BAE">
        <w:t xml:space="preserve"> at the Exceedance Location</w:t>
      </w:r>
      <w:r w:rsidRPr="00435C2F">
        <w:t xml:space="preserve">. Assumes no </w:t>
      </w:r>
      <w:r w:rsidR="004A4FD7">
        <w:t>forced</w:t>
      </w:r>
      <w:r w:rsidR="004A4FD7" w:rsidRPr="00435C2F">
        <w:t xml:space="preserve"> </w:t>
      </w:r>
      <w:r w:rsidRPr="00435C2F">
        <w:t>spill on the reach where the exceedance was detected.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777"/>
        <w:gridCol w:w="989"/>
        <w:gridCol w:w="989"/>
        <w:gridCol w:w="989"/>
        <w:gridCol w:w="1089"/>
        <w:gridCol w:w="1089"/>
        <w:gridCol w:w="1089"/>
        <w:gridCol w:w="1089"/>
      </w:tblGrid>
      <w:tr w:rsidR="00E75D4E" w:rsidRPr="00435C2F" w14:paraId="78417B2C" w14:textId="77777777" w:rsidTr="0031354D">
        <w:trPr>
          <w:trHeight w:hRule="exact" w:val="262"/>
        </w:trPr>
        <w:tc>
          <w:tcPr>
            <w:tcW w:w="1260" w:type="dxa"/>
            <w:vMerge w:val="restart"/>
            <w:tcBorders>
              <w:top w:val="single" w:sz="4" w:space="0" w:color="auto"/>
              <w:right w:val="single" w:sz="4" w:space="0" w:color="auto"/>
            </w:tcBorders>
            <w:vAlign w:val="bottom"/>
          </w:tcPr>
          <w:p w14:paraId="50278890" w14:textId="3115C6F9" w:rsidR="00E75D4E" w:rsidRPr="0072179E" w:rsidRDefault="00E75D4E" w:rsidP="00E75D4E">
            <w:pPr>
              <w:pStyle w:val="NoSpacing"/>
              <w:spacing w:after="0"/>
              <w:jc w:val="center"/>
              <w:rPr>
                <w:rFonts w:ascii="Times New Roman" w:hAnsi="Times New Roman" w:cs="Times New Roman"/>
                <w:b/>
              </w:rPr>
            </w:pPr>
            <w:r w:rsidRPr="0072179E">
              <w:rPr>
                <w:rFonts w:ascii="Times New Roman" w:hAnsi="Times New Roman" w:cs="Times New Roman"/>
                <w:b/>
              </w:rPr>
              <w:t>Exceedance Location</w:t>
            </w:r>
          </w:p>
        </w:tc>
        <w:tc>
          <w:tcPr>
            <w:tcW w:w="8100" w:type="dxa"/>
            <w:gridSpan w:val="8"/>
            <w:tcBorders>
              <w:top w:val="single" w:sz="4" w:space="0" w:color="auto"/>
              <w:left w:val="single" w:sz="4" w:space="0" w:color="auto"/>
            </w:tcBorders>
            <w:vAlign w:val="bottom"/>
          </w:tcPr>
          <w:p w14:paraId="58315973" w14:textId="65BC2C9A" w:rsidR="00E75D4E" w:rsidRPr="00435C2F" w:rsidRDefault="00E75D4E" w:rsidP="00E75D4E">
            <w:pPr>
              <w:pStyle w:val="NoSpacing"/>
              <w:jc w:val="center"/>
              <w:rPr>
                <w:rFonts w:ascii="Times New Roman" w:hAnsi="Times New Roman" w:cs="Times New Roman"/>
                <w:b/>
              </w:rPr>
            </w:pPr>
            <w:r>
              <w:rPr>
                <w:rFonts w:ascii="Times New Roman" w:hAnsi="Times New Roman" w:cs="Times New Roman"/>
                <w:b/>
              </w:rPr>
              <w:t>TDG Criteria by Location</w:t>
            </w:r>
          </w:p>
        </w:tc>
      </w:tr>
      <w:tr w:rsidR="00E75D4E" w:rsidRPr="00435C2F" w14:paraId="40ACCB3D" w14:textId="77777777" w:rsidTr="0031354D">
        <w:trPr>
          <w:trHeight w:val="20"/>
        </w:trPr>
        <w:tc>
          <w:tcPr>
            <w:tcW w:w="1260" w:type="dxa"/>
            <w:vMerge/>
            <w:tcBorders>
              <w:right w:val="single" w:sz="4" w:space="0" w:color="auto"/>
            </w:tcBorders>
          </w:tcPr>
          <w:p w14:paraId="4626D0DF" w14:textId="192810B6" w:rsidR="00E75D4E" w:rsidRPr="0072179E" w:rsidRDefault="00E75D4E" w:rsidP="005F46EB">
            <w:pPr>
              <w:pStyle w:val="NoSpacing"/>
              <w:spacing w:after="0"/>
              <w:jc w:val="center"/>
              <w:rPr>
                <w:rFonts w:ascii="Times New Roman" w:hAnsi="Times New Roman" w:cs="Times New Roman"/>
                <w:b/>
              </w:rPr>
            </w:pPr>
          </w:p>
        </w:tc>
        <w:tc>
          <w:tcPr>
            <w:tcW w:w="777" w:type="dxa"/>
            <w:tcBorders>
              <w:left w:val="single" w:sz="4" w:space="0" w:color="auto"/>
              <w:bottom w:val="single" w:sz="4" w:space="0" w:color="auto"/>
            </w:tcBorders>
          </w:tcPr>
          <w:p w14:paraId="5A27D812" w14:textId="77777777" w:rsidR="00E75D4E" w:rsidRPr="0072179E" w:rsidRDefault="00E75D4E" w:rsidP="005F46EB">
            <w:pPr>
              <w:pStyle w:val="NoSpacing"/>
              <w:spacing w:after="0"/>
              <w:jc w:val="center"/>
              <w:rPr>
                <w:rFonts w:ascii="Times New Roman" w:hAnsi="Times New Roman" w:cs="Times New Roman"/>
                <w:b/>
              </w:rPr>
            </w:pPr>
            <w:r w:rsidRPr="0072179E">
              <w:rPr>
                <w:rFonts w:ascii="Times New Roman" w:hAnsi="Times New Roman" w:cs="Times New Roman"/>
                <w:b/>
              </w:rPr>
              <w:t>BON</w:t>
            </w:r>
          </w:p>
        </w:tc>
        <w:tc>
          <w:tcPr>
            <w:tcW w:w="989" w:type="dxa"/>
            <w:tcBorders>
              <w:bottom w:val="single" w:sz="4" w:space="0" w:color="auto"/>
            </w:tcBorders>
          </w:tcPr>
          <w:p w14:paraId="45991B4E" w14:textId="77777777" w:rsidR="00E75D4E" w:rsidRPr="0072179E" w:rsidRDefault="00E75D4E" w:rsidP="005F46EB">
            <w:pPr>
              <w:pStyle w:val="NoSpacing"/>
              <w:spacing w:after="0"/>
              <w:jc w:val="center"/>
              <w:rPr>
                <w:rFonts w:ascii="Times New Roman" w:hAnsi="Times New Roman" w:cs="Times New Roman"/>
                <w:b/>
              </w:rPr>
            </w:pPr>
            <w:r w:rsidRPr="0072179E">
              <w:rPr>
                <w:rFonts w:ascii="Times New Roman" w:hAnsi="Times New Roman" w:cs="Times New Roman"/>
                <w:b/>
              </w:rPr>
              <w:t>TDA</w:t>
            </w:r>
          </w:p>
        </w:tc>
        <w:tc>
          <w:tcPr>
            <w:tcW w:w="989" w:type="dxa"/>
            <w:tcBorders>
              <w:bottom w:val="single" w:sz="4" w:space="0" w:color="auto"/>
            </w:tcBorders>
          </w:tcPr>
          <w:p w14:paraId="1DB96757" w14:textId="77777777" w:rsidR="00E75D4E" w:rsidRPr="00435C2F" w:rsidRDefault="00E75D4E" w:rsidP="005F46EB">
            <w:pPr>
              <w:pStyle w:val="NoSpacing"/>
              <w:spacing w:after="0"/>
              <w:jc w:val="center"/>
              <w:rPr>
                <w:rFonts w:ascii="Times New Roman" w:hAnsi="Times New Roman" w:cs="Times New Roman"/>
                <w:b/>
              </w:rPr>
            </w:pPr>
            <w:r w:rsidRPr="00435C2F">
              <w:rPr>
                <w:rFonts w:ascii="Times New Roman" w:hAnsi="Times New Roman" w:cs="Times New Roman"/>
                <w:b/>
              </w:rPr>
              <w:t>JDA</w:t>
            </w:r>
          </w:p>
        </w:tc>
        <w:tc>
          <w:tcPr>
            <w:tcW w:w="989" w:type="dxa"/>
            <w:tcBorders>
              <w:bottom w:val="single" w:sz="4" w:space="0" w:color="auto"/>
            </w:tcBorders>
          </w:tcPr>
          <w:p w14:paraId="6CBE2C93" w14:textId="77777777" w:rsidR="00E75D4E" w:rsidRPr="00435C2F" w:rsidRDefault="00E75D4E" w:rsidP="005F46EB">
            <w:pPr>
              <w:pStyle w:val="NoSpacing"/>
              <w:spacing w:after="0"/>
              <w:jc w:val="center"/>
              <w:rPr>
                <w:rFonts w:ascii="Times New Roman" w:hAnsi="Times New Roman" w:cs="Times New Roman"/>
                <w:b/>
              </w:rPr>
            </w:pPr>
            <w:r w:rsidRPr="00435C2F">
              <w:rPr>
                <w:rFonts w:ascii="Times New Roman" w:hAnsi="Times New Roman" w:cs="Times New Roman"/>
                <w:b/>
              </w:rPr>
              <w:t>MCN</w:t>
            </w:r>
          </w:p>
        </w:tc>
        <w:tc>
          <w:tcPr>
            <w:tcW w:w="1089" w:type="dxa"/>
            <w:tcBorders>
              <w:bottom w:val="single" w:sz="4" w:space="0" w:color="auto"/>
            </w:tcBorders>
          </w:tcPr>
          <w:p w14:paraId="56C0F78A" w14:textId="77777777" w:rsidR="00E75D4E" w:rsidRPr="00435C2F" w:rsidRDefault="00E75D4E" w:rsidP="005F46EB">
            <w:pPr>
              <w:pStyle w:val="NoSpacing"/>
              <w:spacing w:after="0"/>
              <w:jc w:val="center"/>
              <w:rPr>
                <w:rFonts w:ascii="Times New Roman" w:hAnsi="Times New Roman" w:cs="Times New Roman"/>
                <w:b/>
              </w:rPr>
            </w:pPr>
            <w:r w:rsidRPr="00435C2F">
              <w:rPr>
                <w:rFonts w:ascii="Times New Roman" w:hAnsi="Times New Roman" w:cs="Times New Roman"/>
                <w:b/>
              </w:rPr>
              <w:t>IHR</w:t>
            </w:r>
          </w:p>
        </w:tc>
        <w:tc>
          <w:tcPr>
            <w:tcW w:w="1089" w:type="dxa"/>
            <w:tcBorders>
              <w:bottom w:val="single" w:sz="4" w:space="0" w:color="auto"/>
            </w:tcBorders>
          </w:tcPr>
          <w:p w14:paraId="43E557F4" w14:textId="77777777" w:rsidR="00E75D4E" w:rsidRPr="00435C2F" w:rsidRDefault="00E75D4E" w:rsidP="005F46EB">
            <w:pPr>
              <w:pStyle w:val="NoSpacing"/>
              <w:spacing w:after="0"/>
              <w:jc w:val="center"/>
              <w:rPr>
                <w:rFonts w:ascii="Times New Roman" w:hAnsi="Times New Roman" w:cs="Times New Roman"/>
                <w:b/>
              </w:rPr>
            </w:pPr>
            <w:r w:rsidRPr="00435C2F">
              <w:rPr>
                <w:rFonts w:ascii="Times New Roman" w:hAnsi="Times New Roman" w:cs="Times New Roman"/>
                <w:b/>
              </w:rPr>
              <w:t>LMN</w:t>
            </w:r>
          </w:p>
        </w:tc>
        <w:tc>
          <w:tcPr>
            <w:tcW w:w="1089" w:type="dxa"/>
            <w:tcBorders>
              <w:bottom w:val="single" w:sz="4" w:space="0" w:color="auto"/>
            </w:tcBorders>
          </w:tcPr>
          <w:p w14:paraId="506BF7EB" w14:textId="77777777" w:rsidR="00E75D4E" w:rsidRPr="00435C2F" w:rsidRDefault="00E75D4E" w:rsidP="005F46EB">
            <w:pPr>
              <w:pStyle w:val="NoSpacing"/>
              <w:spacing w:after="0"/>
              <w:jc w:val="center"/>
              <w:rPr>
                <w:rFonts w:ascii="Times New Roman" w:hAnsi="Times New Roman" w:cs="Times New Roman"/>
                <w:b/>
              </w:rPr>
            </w:pPr>
            <w:r w:rsidRPr="00435C2F">
              <w:rPr>
                <w:rFonts w:ascii="Times New Roman" w:hAnsi="Times New Roman" w:cs="Times New Roman"/>
                <w:b/>
              </w:rPr>
              <w:t>LGS</w:t>
            </w:r>
          </w:p>
        </w:tc>
        <w:tc>
          <w:tcPr>
            <w:tcW w:w="1089" w:type="dxa"/>
            <w:tcBorders>
              <w:bottom w:val="single" w:sz="4" w:space="0" w:color="auto"/>
            </w:tcBorders>
          </w:tcPr>
          <w:p w14:paraId="5912C8C3" w14:textId="77777777" w:rsidR="00E75D4E" w:rsidRPr="00435C2F" w:rsidRDefault="00E75D4E" w:rsidP="005F46EB">
            <w:pPr>
              <w:pStyle w:val="NoSpacing"/>
              <w:spacing w:after="0"/>
              <w:jc w:val="center"/>
              <w:rPr>
                <w:rFonts w:ascii="Times New Roman" w:hAnsi="Times New Roman" w:cs="Times New Roman"/>
                <w:b/>
              </w:rPr>
            </w:pPr>
            <w:r w:rsidRPr="00435C2F">
              <w:rPr>
                <w:rFonts w:ascii="Times New Roman" w:hAnsi="Times New Roman" w:cs="Times New Roman"/>
                <w:b/>
              </w:rPr>
              <w:t>LWG</w:t>
            </w:r>
          </w:p>
        </w:tc>
      </w:tr>
      <w:tr w:rsidR="00671A5B" w:rsidRPr="00435C2F" w14:paraId="6952DC8F" w14:textId="77777777" w:rsidTr="00E75D4E">
        <w:trPr>
          <w:trHeight w:val="20"/>
        </w:trPr>
        <w:tc>
          <w:tcPr>
            <w:tcW w:w="1260" w:type="dxa"/>
            <w:tcBorders>
              <w:right w:val="single" w:sz="4" w:space="0" w:color="auto"/>
            </w:tcBorders>
          </w:tcPr>
          <w:p w14:paraId="3FFDBA4D" w14:textId="0BB72B01" w:rsidR="009D664B" w:rsidRPr="00435C2F" w:rsidRDefault="009D664B" w:rsidP="005F46EB">
            <w:pPr>
              <w:pStyle w:val="NoSpacing"/>
              <w:spacing w:after="0"/>
              <w:rPr>
                <w:rFonts w:ascii="Times New Roman" w:hAnsi="Times New Roman" w:cs="Times New Roman"/>
                <w:b/>
              </w:rPr>
            </w:pPr>
            <w:r w:rsidRPr="00435C2F">
              <w:rPr>
                <w:rFonts w:ascii="Times New Roman" w:hAnsi="Times New Roman" w:cs="Times New Roman"/>
                <w:b/>
              </w:rPr>
              <w:t>BON</w:t>
            </w:r>
            <w:r w:rsidR="00F56935">
              <w:rPr>
                <w:rFonts w:ascii="Times New Roman" w:hAnsi="Times New Roman" w:cs="Times New Roman"/>
                <w:b/>
              </w:rPr>
              <w:t xml:space="preserve"> </w:t>
            </w:r>
          </w:p>
        </w:tc>
        <w:tc>
          <w:tcPr>
            <w:tcW w:w="777" w:type="dxa"/>
            <w:tcBorders>
              <w:top w:val="single" w:sz="4" w:space="0" w:color="auto"/>
              <w:left w:val="single" w:sz="4" w:space="0" w:color="auto"/>
            </w:tcBorders>
            <w:shd w:val="clear" w:color="auto" w:fill="E5DFEC" w:themeFill="accent4" w:themeFillTint="33"/>
            <w:tcMar>
              <w:left w:w="0" w:type="dxa"/>
              <w:right w:w="0" w:type="dxa"/>
            </w:tcMar>
          </w:tcPr>
          <w:p w14:paraId="03E0FF55" w14:textId="77777777" w:rsidR="009D664B" w:rsidRPr="00435C2F" w:rsidRDefault="009D664B" w:rsidP="00E75D4E">
            <w:pPr>
              <w:pStyle w:val="NoSpacing"/>
              <w:spacing w:after="0"/>
              <w:jc w:val="center"/>
              <w:rPr>
                <w:rFonts w:ascii="Times New Roman" w:hAnsi="Times New Roman" w:cs="Times New Roman"/>
              </w:rPr>
            </w:pPr>
            <w:r w:rsidRPr="00435C2F">
              <w:rPr>
                <w:rFonts w:ascii="Times New Roman" w:hAnsi="Times New Roman" w:cs="Times New Roman"/>
              </w:rPr>
              <w:t>120%</w:t>
            </w:r>
          </w:p>
        </w:tc>
        <w:tc>
          <w:tcPr>
            <w:tcW w:w="989" w:type="dxa"/>
            <w:tcBorders>
              <w:top w:val="single" w:sz="4" w:space="0" w:color="auto"/>
            </w:tcBorders>
            <w:shd w:val="clear" w:color="auto" w:fill="E5DFEC" w:themeFill="accent4" w:themeFillTint="33"/>
            <w:tcMar>
              <w:left w:w="0" w:type="dxa"/>
              <w:right w:w="0" w:type="dxa"/>
            </w:tcMar>
          </w:tcPr>
          <w:p w14:paraId="69B00DCF" w14:textId="77777777" w:rsidR="009D664B" w:rsidRPr="00435C2F" w:rsidRDefault="009D664B" w:rsidP="00E75D4E">
            <w:pPr>
              <w:pStyle w:val="NoSpacing"/>
              <w:spacing w:after="0"/>
              <w:jc w:val="center"/>
              <w:rPr>
                <w:rFonts w:ascii="Times New Roman" w:hAnsi="Times New Roman" w:cs="Times New Roman"/>
              </w:rPr>
            </w:pPr>
            <w:r w:rsidRPr="00435C2F">
              <w:rPr>
                <w:rFonts w:ascii="Times New Roman" w:hAnsi="Times New Roman" w:cs="Times New Roman"/>
              </w:rPr>
              <w:t>115%/120%</w:t>
            </w:r>
          </w:p>
        </w:tc>
        <w:tc>
          <w:tcPr>
            <w:tcW w:w="989" w:type="dxa"/>
            <w:tcBorders>
              <w:top w:val="single" w:sz="4" w:space="0" w:color="auto"/>
            </w:tcBorders>
            <w:shd w:val="clear" w:color="auto" w:fill="E5DFEC" w:themeFill="accent4" w:themeFillTint="33"/>
            <w:tcMar>
              <w:left w:w="0" w:type="dxa"/>
              <w:right w:w="0" w:type="dxa"/>
            </w:tcMar>
          </w:tcPr>
          <w:p w14:paraId="220EA54D" w14:textId="77777777" w:rsidR="009D664B" w:rsidRPr="00435C2F" w:rsidRDefault="009D664B" w:rsidP="00E75D4E">
            <w:pPr>
              <w:pStyle w:val="NoSpacing"/>
              <w:spacing w:after="0"/>
              <w:jc w:val="center"/>
              <w:rPr>
                <w:rFonts w:ascii="Times New Roman" w:hAnsi="Times New Roman" w:cs="Times New Roman"/>
              </w:rPr>
            </w:pPr>
            <w:r w:rsidRPr="00435C2F">
              <w:rPr>
                <w:rFonts w:ascii="Times New Roman" w:hAnsi="Times New Roman" w:cs="Times New Roman"/>
              </w:rPr>
              <w:t>115%/120%</w:t>
            </w:r>
          </w:p>
        </w:tc>
        <w:tc>
          <w:tcPr>
            <w:tcW w:w="989" w:type="dxa"/>
            <w:tcBorders>
              <w:top w:val="single" w:sz="4" w:space="0" w:color="auto"/>
            </w:tcBorders>
            <w:shd w:val="clear" w:color="auto" w:fill="E5DFEC" w:themeFill="accent4" w:themeFillTint="33"/>
            <w:tcMar>
              <w:left w:w="0" w:type="dxa"/>
              <w:right w:w="0" w:type="dxa"/>
            </w:tcMar>
          </w:tcPr>
          <w:p w14:paraId="26E8526A" w14:textId="77777777" w:rsidR="009D664B" w:rsidRPr="00435C2F" w:rsidRDefault="009D664B" w:rsidP="00E75D4E">
            <w:pPr>
              <w:pStyle w:val="NoSpacing"/>
              <w:spacing w:after="0"/>
              <w:jc w:val="center"/>
              <w:rPr>
                <w:rFonts w:ascii="Times New Roman" w:hAnsi="Times New Roman" w:cs="Times New Roman"/>
              </w:rPr>
            </w:pPr>
            <w:r w:rsidRPr="00435C2F">
              <w:rPr>
                <w:rFonts w:ascii="Times New Roman" w:hAnsi="Times New Roman" w:cs="Times New Roman"/>
              </w:rPr>
              <w:t>115%/120%</w:t>
            </w:r>
          </w:p>
        </w:tc>
        <w:tc>
          <w:tcPr>
            <w:tcW w:w="1089" w:type="dxa"/>
            <w:tcBorders>
              <w:top w:val="single" w:sz="4" w:space="0" w:color="auto"/>
            </w:tcBorders>
            <w:tcMar>
              <w:left w:w="0" w:type="dxa"/>
              <w:right w:w="0" w:type="dxa"/>
            </w:tcMar>
          </w:tcPr>
          <w:p w14:paraId="39AE8560" w14:textId="77777777" w:rsidR="009D664B" w:rsidRPr="00435C2F" w:rsidRDefault="009D664B"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1089" w:type="dxa"/>
            <w:tcBorders>
              <w:top w:val="single" w:sz="4" w:space="0" w:color="auto"/>
            </w:tcBorders>
            <w:tcMar>
              <w:left w:w="0" w:type="dxa"/>
              <w:right w:w="0" w:type="dxa"/>
            </w:tcMar>
          </w:tcPr>
          <w:p w14:paraId="773F77AF" w14:textId="77777777" w:rsidR="009D664B" w:rsidRPr="00435C2F" w:rsidRDefault="009D664B"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1089" w:type="dxa"/>
            <w:tcBorders>
              <w:top w:val="single" w:sz="4" w:space="0" w:color="auto"/>
            </w:tcBorders>
            <w:tcMar>
              <w:left w:w="0" w:type="dxa"/>
              <w:right w:w="0" w:type="dxa"/>
            </w:tcMar>
          </w:tcPr>
          <w:p w14:paraId="58DF5D2C" w14:textId="77777777" w:rsidR="009D664B" w:rsidRPr="00435C2F" w:rsidRDefault="009D664B"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1089" w:type="dxa"/>
            <w:tcBorders>
              <w:top w:val="single" w:sz="4" w:space="0" w:color="auto"/>
            </w:tcBorders>
            <w:tcMar>
              <w:left w:w="0" w:type="dxa"/>
              <w:right w:w="0" w:type="dxa"/>
            </w:tcMar>
          </w:tcPr>
          <w:p w14:paraId="0C0650B5" w14:textId="77777777" w:rsidR="009D664B" w:rsidRPr="00435C2F" w:rsidRDefault="009D664B"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r>
      <w:tr w:rsidR="00671A5B" w:rsidRPr="00435C2F" w14:paraId="35F500DA" w14:textId="77777777" w:rsidTr="00E75D4E">
        <w:trPr>
          <w:trHeight w:val="20"/>
        </w:trPr>
        <w:tc>
          <w:tcPr>
            <w:tcW w:w="1260" w:type="dxa"/>
            <w:tcBorders>
              <w:right w:val="single" w:sz="4" w:space="0" w:color="auto"/>
            </w:tcBorders>
          </w:tcPr>
          <w:p w14:paraId="4FA6B645" w14:textId="1AEEE65B" w:rsidR="0020661C" w:rsidRPr="00435C2F" w:rsidRDefault="0020661C" w:rsidP="00637043">
            <w:pPr>
              <w:pStyle w:val="NoSpacing"/>
              <w:spacing w:after="0"/>
              <w:rPr>
                <w:rFonts w:ascii="Times New Roman" w:hAnsi="Times New Roman" w:cs="Times New Roman"/>
                <w:b/>
              </w:rPr>
            </w:pPr>
            <w:r>
              <w:rPr>
                <w:rFonts w:ascii="Times New Roman" w:hAnsi="Times New Roman" w:cs="Times New Roman"/>
                <w:b/>
              </w:rPr>
              <w:t>MCN tailrace</w:t>
            </w:r>
          </w:p>
        </w:tc>
        <w:tc>
          <w:tcPr>
            <w:tcW w:w="777" w:type="dxa"/>
            <w:tcBorders>
              <w:left w:val="single" w:sz="4" w:space="0" w:color="auto"/>
            </w:tcBorders>
            <w:shd w:val="clear" w:color="auto" w:fill="E5DFEC" w:themeFill="accent4" w:themeFillTint="33"/>
            <w:tcMar>
              <w:left w:w="0" w:type="dxa"/>
              <w:right w:w="0" w:type="dxa"/>
            </w:tcMar>
          </w:tcPr>
          <w:p w14:paraId="49AB666F" w14:textId="46E46C98" w:rsidR="0020661C" w:rsidRPr="00435C2F" w:rsidRDefault="0020661C" w:rsidP="00E75D4E">
            <w:pPr>
              <w:pStyle w:val="NoSpacing"/>
              <w:spacing w:after="0"/>
              <w:jc w:val="center"/>
              <w:rPr>
                <w:rFonts w:ascii="Times New Roman" w:hAnsi="Times New Roman" w:cs="Times New Roman"/>
              </w:rPr>
            </w:pPr>
            <w:r w:rsidRPr="00435C2F">
              <w:rPr>
                <w:rFonts w:ascii="Times New Roman" w:hAnsi="Times New Roman" w:cs="Times New Roman"/>
              </w:rPr>
              <w:t>120%</w:t>
            </w:r>
          </w:p>
        </w:tc>
        <w:tc>
          <w:tcPr>
            <w:tcW w:w="989" w:type="dxa"/>
            <w:shd w:val="clear" w:color="auto" w:fill="E5DFEC" w:themeFill="accent4" w:themeFillTint="33"/>
            <w:tcMar>
              <w:left w:w="0" w:type="dxa"/>
              <w:right w:w="0" w:type="dxa"/>
            </w:tcMar>
          </w:tcPr>
          <w:p w14:paraId="4F858358" w14:textId="4426D21E" w:rsidR="0020661C" w:rsidRPr="00435C2F" w:rsidRDefault="0020661C" w:rsidP="00E75D4E">
            <w:pPr>
              <w:pStyle w:val="NoSpacing"/>
              <w:spacing w:after="0"/>
              <w:jc w:val="center"/>
              <w:rPr>
                <w:rFonts w:ascii="Times New Roman" w:hAnsi="Times New Roman" w:cs="Times New Roman"/>
              </w:rPr>
            </w:pPr>
            <w:r w:rsidRPr="00435C2F">
              <w:rPr>
                <w:rFonts w:ascii="Times New Roman" w:hAnsi="Times New Roman" w:cs="Times New Roman"/>
              </w:rPr>
              <w:t>115%/120%</w:t>
            </w:r>
          </w:p>
        </w:tc>
        <w:tc>
          <w:tcPr>
            <w:tcW w:w="989" w:type="dxa"/>
            <w:shd w:val="clear" w:color="auto" w:fill="E5DFEC" w:themeFill="accent4" w:themeFillTint="33"/>
            <w:tcMar>
              <w:left w:w="0" w:type="dxa"/>
              <w:right w:w="0" w:type="dxa"/>
            </w:tcMar>
          </w:tcPr>
          <w:p w14:paraId="500CAAB3" w14:textId="2057AD01" w:rsidR="0020661C" w:rsidRPr="00435C2F" w:rsidRDefault="0020661C" w:rsidP="00E75D4E">
            <w:pPr>
              <w:pStyle w:val="NoSpacing"/>
              <w:spacing w:after="0"/>
              <w:jc w:val="center"/>
              <w:rPr>
                <w:rFonts w:ascii="Times New Roman" w:hAnsi="Times New Roman" w:cs="Times New Roman"/>
              </w:rPr>
            </w:pPr>
            <w:r w:rsidRPr="00435C2F">
              <w:rPr>
                <w:rFonts w:ascii="Times New Roman" w:hAnsi="Times New Roman" w:cs="Times New Roman"/>
              </w:rPr>
              <w:t>115%/120%</w:t>
            </w:r>
          </w:p>
        </w:tc>
        <w:tc>
          <w:tcPr>
            <w:tcW w:w="989" w:type="dxa"/>
            <w:shd w:val="clear" w:color="auto" w:fill="E5DFEC" w:themeFill="accent4" w:themeFillTint="33"/>
            <w:tcMar>
              <w:left w:w="0" w:type="dxa"/>
              <w:right w:w="0" w:type="dxa"/>
            </w:tcMar>
          </w:tcPr>
          <w:p w14:paraId="10FD65CE" w14:textId="5E94CC9D" w:rsidR="0020661C" w:rsidRPr="00435C2F" w:rsidRDefault="0020661C" w:rsidP="00E75D4E">
            <w:pPr>
              <w:pStyle w:val="NoSpacing"/>
              <w:spacing w:after="0"/>
              <w:jc w:val="center"/>
              <w:rPr>
                <w:rFonts w:ascii="Times New Roman" w:hAnsi="Times New Roman" w:cs="Times New Roman"/>
              </w:rPr>
            </w:pPr>
            <w:r w:rsidRPr="00435C2F">
              <w:rPr>
                <w:rFonts w:ascii="Times New Roman" w:hAnsi="Times New Roman" w:cs="Times New Roman"/>
              </w:rPr>
              <w:t>115%/120%</w:t>
            </w:r>
          </w:p>
        </w:tc>
        <w:tc>
          <w:tcPr>
            <w:tcW w:w="1089" w:type="dxa"/>
            <w:tcMar>
              <w:left w:w="0" w:type="dxa"/>
              <w:right w:w="0" w:type="dxa"/>
            </w:tcMar>
          </w:tcPr>
          <w:p w14:paraId="64373BF8" w14:textId="0D7A874B" w:rsidR="0020661C" w:rsidRPr="00435C2F" w:rsidRDefault="0020661C"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1089" w:type="dxa"/>
            <w:tcMar>
              <w:left w:w="0" w:type="dxa"/>
              <w:right w:w="0" w:type="dxa"/>
            </w:tcMar>
          </w:tcPr>
          <w:p w14:paraId="36047269" w14:textId="30A4FD12" w:rsidR="0020661C" w:rsidRPr="00435C2F" w:rsidRDefault="0020661C"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1089" w:type="dxa"/>
            <w:tcMar>
              <w:left w:w="0" w:type="dxa"/>
              <w:right w:w="0" w:type="dxa"/>
            </w:tcMar>
          </w:tcPr>
          <w:p w14:paraId="63A5ED66" w14:textId="448D778D" w:rsidR="0020661C" w:rsidRPr="00435C2F" w:rsidRDefault="0020661C"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1089" w:type="dxa"/>
            <w:tcMar>
              <w:left w:w="0" w:type="dxa"/>
              <w:right w:w="0" w:type="dxa"/>
            </w:tcMar>
          </w:tcPr>
          <w:p w14:paraId="6F91584A" w14:textId="0230382A" w:rsidR="0020661C" w:rsidRPr="00435C2F" w:rsidRDefault="0020661C"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r>
      <w:tr w:rsidR="00671A5B" w:rsidRPr="00435C2F" w14:paraId="34818D7D" w14:textId="77777777" w:rsidTr="00E75D4E">
        <w:trPr>
          <w:trHeight w:val="20"/>
        </w:trPr>
        <w:tc>
          <w:tcPr>
            <w:tcW w:w="1260" w:type="dxa"/>
            <w:tcBorders>
              <w:right w:val="single" w:sz="4" w:space="0" w:color="auto"/>
            </w:tcBorders>
          </w:tcPr>
          <w:p w14:paraId="2AE44B9E" w14:textId="3463733F" w:rsidR="0020661C" w:rsidRPr="00435C2F" w:rsidRDefault="0020661C" w:rsidP="0020661C">
            <w:pPr>
              <w:pStyle w:val="NoSpacing"/>
              <w:spacing w:after="0"/>
              <w:rPr>
                <w:rFonts w:ascii="Times New Roman" w:hAnsi="Times New Roman" w:cs="Times New Roman"/>
                <w:b/>
              </w:rPr>
            </w:pPr>
            <w:r w:rsidRPr="00435C2F">
              <w:rPr>
                <w:rFonts w:ascii="Times New Roman" w:hAnsi="Times New Roman" w:cs="Times New Roman"/>
                <w:b/>
              </w:rPr>
              <w:t>MCN</w:t>
            </w:r>
            <w:r>
              <w:rPr>
                <w:rFonts w:ascii="Times New Roman" w:hAnsi="Times New Roman" w:cs="Times New Roman"/>
                <w:b/>
              </w:rPr>
              <w:t xml:space="preserve"> forebay</w:t>
            </w:r>
          </w:p>
        </w:tc>
        <w:tc>
          <w:tcPr>
            <w:tcW w:w="777" w:type="dxa"/>
            <w:tcBorders>
              <w:left w:val="single" w:sz="4" w:space="0" w:color="auto"/>
            </w:tcBorders>
            <w:shd w:val="clear" w:color="auto" w:fill="auto"/>
            <w:tcMar>
              <w:left w:w="0" w:type="dxa"/>
              <w:right w:w="0" w:type="dxa"/>
            </w:tcMar>
          </w:tcPr>
          <w:p w14:paraId="1335B4EF" w14:textId="10FC3369" w:rsidR="0020661C" w:rsidRPr="00435C2F" w:rsidRDefault="0020661C"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989" w:type="dxa"/>
            <w:shd w:val="clear" w:color="auto" w:fill="auto"/>
            <w:tcMar>
              <w:left w:w="0" w:type="dxa"/>
              <w:right w:w="0" w:type="dxa"/>
            </w:tcMar>
          </w:tcPr>
          <w:p w14:paraId="0E6AE1B6" w14:textId="364CF3A0" w:rsidR="0020661C" w:rsidRPr="00435C2F" w:rsidRDefault="0020661C"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989" w:type="dxa"/>
            <w:shd w:val="clear" w:color="auto" w:fill="auto"/>
            <w:tcMar>
              <w:left w:w="0" w:type="dxa"/>
              <w:right w:w="0" w:type="dxa"/>
            </w:tcMar>
          </w:tcPr>
          <w:p w14:paraId="3561AF07" w14:textId="412B089B" w:rsidR="0020661C" w:rsidRPr="00435C2F" w:rsidRDefault="0020661C"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989" w:type="dxa"/>
            <w:shd w:val="clear" w:color="auto" w:fill="auto"/>
            <w:tcMar>
              <w:left w:w="0" w:type="dxa"/>
              <w:right w:w="0" w:type="dxa"/>
            </w:tcMar>
          </w:tcPr>
          <w:p w14:paraId="7F8463F3" w14:textId="2AF60717" w:rsidR="0020661C" w:rsidRPr="00435C2F" w:rsidRDefault="0020661C"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1089" w:type="dxa"/>
            <w:shd w:val="clear" w:color="auto" w:fill="E5DFEC" w:themeFill="accent4" w:themeFillTint="33"/>
            <w:tcMar>
              <w:left w:w="0" w:type="dxa"/>
              <w:right w:w="0" w:type="dxa"/>
            </w:tcMar>
          </w:tcPr>
          <w:p w14:paraId="14FB5B43" w14:textId="7D0D99EA" w:rsidR="0020661C" w:rsidRPr="00435C2F" w:rsidRDefault="0020661C" w:rsidP="00E75D4E">
            <w:pPr>
              <w:pStyle w:val="NoSpacing"/>
              <w:spacing w:after="0"/>
              <w:jc w:val="center"/>
              <w:rPr>
                <w:rFonts w:ascii="Times New Roman" w:hAnsi="Times New Roman" w:cs="Times New Roman"/>
              </w:rPr>
            </w:pPr>
            <w:r w:rsidRPr="00435C2F">
              <w:rPr>
                <w:rFonts w:ascii="Times New Roman" w:hAnsi="Times New Roman" w:cs="Times New Roman"/>
              </w:rPr>
              <w:t>115%/120%</w:t>
            </w:r>
            <w:r w:rsidR="00671A5B">
              <w:rPr>
                <w:rFonts w:ascii="Times New Roman" w:hAnsi="Times New Roman" w:cs="Times New Roman"/>
              </w:rPr>
              <w:t>*</w:t>
            </w:r>
          </w:p>
        </w:tc>
        <w:tc>
          <w:tcPr>
            <w:tcW w:w="1089" w:type="dxa"/>
            <w:shd w:val="clear" w:color="auto" w:fill="E5DFEC" w:themeFill="accent4" w:themeFillTint="33"/>
            <w:tcMar>
              <w:left w:w="0" w:type="dxa"/>
              <w:right w:w="0" w:type="dxa"/>
            </w:tcMar>
          </w:tcPr>
          <w:p w14:paraId="09E8E818" w14:textId="0DD6A9BC" w:rsidR="0020661C" w:rsidRPr="00435C2F" w:rsidRDefault="0020661C" w:rsidP="00E75D4E">
            <w:pPr>
              <w:pStyle w:val="NoSpacing"/>
              <w:spacing w:after="0"/>
              <w:jc w:val="center"/>
              <w:rPr>
                <w:rFonts w:ascii="Times New Roman" w:hAnsi="Times New Roman" w:cs="Times New Roman"/>
              </w:rPr>
            </w:pPr>
            <w:r w:rsidRPr="00435C2F">
              <w:rPr>
                <w:rFonts w:ascii="Times New Roman" w:hAnsi="Times New Roman" w:cs="Times New Roman"/>
              </w:rPr>
              <w:t>115%/120%</w:t>
            </w:r>
            <w:r w:rsidR="00671A5B">
              <w:rPr>
                <w:rFonts w:ascii="Times New Roman" w:hAnsi="Times New Roman" w:cs="Times New Roman"/>
              </w:rPr>
              <w:t>*</w:t>
            </w:r>
          </w:p>
        </w:tc>
        <w:tc>
          <w:tcPr>
            <w:tcW w:w="1089" w:type="dxa"/>
            <w:shd w:val="clear" w:color="auto" w:fill="E5DFEC" w:themeFill="accent4" w:themeFillTint="33"/>
            <w:tcMar>
              <w:left w:w="0" w:type="dxa"/>
              <w:right w:w="0" w:type="dxa"/>
            </w:tcMar>
          </w:tcPr>
          <w:p w14:paraId="471C9086" w14:textId="56A2CC90" w:rsidR="0020661C" w:rsidRPr="00435C2F" w:rsidRDefault="0020661C" w:rsidP="00E75D4E">
            <w:pPr>
              <w:pStyle w:val="NoSpacing"/>
              <w:spacing w:after="0"/>
              <w:jc w:val="center"/>
              <w:rPr>
                <w:rFonts w:ascii="Times New Roman" w:hAnsi="Times New Roman" w:cs="Times New Roman"/>
              </w:rPr>
            </w:pPr>
            <w:r w:rsidRPr="00435C2F">
              <w:rPr>
                <w:rFonts w:ascii="Times New Roman" w:hAnsi="Times New Roman" w:cs="Times New Roman"/>
              </w:rPr>
              <w:t>115%/120%</w:t>
            </w:r>
            <w:r w:rsidR="00671A5B">
              <w:rPr>
                <w:rFonts w:ascii="Times New Roman" w:hAnsi="Times New Roman" w:cs="Times New Roman"/>
              </w:rPr>
              <w:t>*</w:t>
            </w:r>
          </w:p>
        </w:tc>
        <w:tc>
          <w:tcPr>
            <w:tcW w:w="1089" w:type="dxa"/>
            <w:shd w:val="clear" w:color="auto" w:fill="E5DFEC" w:themeFill="accent4" w:themeFillTint="33"/>
            <w:tcMar>
              <w:left w:w="0" w:type="dxa"/>
              <w:right w:w="0" w:type="dxa"/>
            </w:tcMar>
          </w:tcPr>
          <w:p w14:paraId="2DE13A2D" w14:textId="39725468" w:rsidR="0020661C" w:rsidRPr="00435C2F" w:rsidRDefault="0020661C" w:rsidP="00E75D4E">
            <w:pPr>
              <w:pStyle w:val="NoSpacing"/>
              <w:spacing w:after="0"/>
              <w:jc w:val="center"/>
              <w:rPr>
                <w:rFonts w:ascii="Times New Roman" w:hAnsi="Times New Roman" w:cs="Times New Roman"/>
              </w:rPr>
            </w:pPr>
            <w:r w:rsidRPr="00435C2F">
              <w:rPr>
                <w:rFonts w:ascii="Times New Roman" w:hAnsi="Times New Roman" w:cs="Times New Roman"/>
              </w:rPr>
              <w:t>115%/120%</w:t>
            </w:r>
            <w:r w:rsidR="00671A5B">
              <w:rPr>
                <w:rFonts w:ascii="Times New Roman" w:hAnsi="Times New Roman" w:cs="Times New Roman"/>
              </w:rPr>
              <w:t>*</w:t>
            </w:r>
          </w:p>
        </w:tc>
      </w:tr>
      <w:tr w:rsidR="00671A5B" w:rsidRPr="00435C2F" w14:paraId="5F8A41E4" w14:textId="77777777" w:rsidTr="00E75D4E">
        <w:trPr>
          <w:trHeight w:val="20"/>
        </w:trPr>
        <w:tc>
          <w:tcPr>
            <w:tcW w:w="1260" w:type="dxa"/>
            <w:tcBorders>
              <w:right w:val="single" w:sz="4" w:space="0" w:color="auto"/>
            </w:tcBorders>
          </w:tcPr>
          <w:p w14:paraId="37C1F729" w14:textId="4E3084D4" w:rsidR="00644AD5" w:rsidRPr="00374C06" w:rsidRDefault="00644AD5" w:rsidP="00644AD5">
            <w:pPr>
              <w:spacing w:after="0"/>
              <w:rPr>
                <w:b/>
                <w:bCs/>
                <w:sz w:val="20"/>
                <w:szCs w:val="20"/>
              </w:rPr>
            </w:pPr>
            <w:r w:rsidRPr="00374C06">
              <w:rPr>
                <w:b/>
                <w:bCs/>
                <w:sz w:val="20"/>
                <w:szCs w:val="20"/>
              </w:rPr>
              <w:t>IHR</w:t>
            </w:r>
          </w:p>
        </w:tc>
        <w:tc>
          <w:tcPr>
            <w:tcW w:w="777" w:type="dxa"/>
            <w:tcBorders>
              <w:left w:val="single" w:sz="4" w:space="0" w:color="auto"/>
            </w:tcBorders>
            <w:shd w:val="clear" w:color="auto" w:fill="auto"/>
            <w:tcMar>
              <w:left w:w="0" w:type="dxa"/>
              <w:right w:w="0" w:type="dxa"/>
            </w:tcMar>
          </w:tcPr>
          <w:p w14:paraId="2733BB29" w14:textId="4D28D8CC" w:rsidR="00644AD5" w:rsidRPr="00374C06" w:rsidRDefault="00644AD5" w:rsidP="00E75D4E">
            <w:pPr>
              <w:spacing w:after="0"/>
              <w:jc w:val="center"/>
              <w:rPr>
                <w:sz w:val="20"/>
                <w:szCs w:val="20"/>
              </w:rPr>
            </w:pPr>
            <w:r w:rsidRPr="00374C06">
              <w:rPr>
                <w:sz w:val="20"/>
                <w:szCs w:val="20"/>
              </w:rPr>
              <w:t>125%</w:t>
            </w:r>
          </w:p>
        </w:tc>
        <w:tc>
          <w:tcPr>
            <w:tcW w:w="989" w:type="dxa"/>
            <w:shd w:val="clear" w:color="auto" w:fill="auto"/>
            <w:tcMar>
              <w:left w:w="0" w:type="dxa"/>
              <w:right w:w="0" w:type="dxa"/>
            </w:tcMar>
          </w:tcPr>
          <w:p w14:paraId="069FD084" w14:textId="3311E48D" w:rsidR="00644AD5" w:rsidRPr="00374C06" w:rsidRDefault="00644AD5" w:rsidP="00E75D4E">
            <w:pPr>
              <w:spacing w:after="0"/>
              <w:jc w:val="center"/>
              <w:rPr>
                <w:sz w:val="20"/>
                <w:szCs w:val="20"/>
              </w:rPr>
            </w:pPr>
            <w:r w:rsidRPr="00374C06">
              <w:rPr>
                <w:sz w:val="20"/>
                <w:szCs w:val="20"/>
              </w:rPr>
              <w:t>125%</w:t>
            </w:r>
          </w:p>
        </w:tc>
        <w:tc>
          <w:tcPr>
            <w:tcW w:w="989" w:type="dxa"/>
            <w:shd w:val="clear" w:color="auto" w:fill="auto"/>
            <w:tcMar>
              <w:left w:w="0" w:type="dxa"/>
              <w:right w:w="0" w:type="dxa"/>
            </w:tcMar>
          </w:tcPr>
          <w:p w14:paraId="3C0F0968" w14:textId="5079B1EA" w:rsidR="00644AD5" w:rsidRPr="00374C06" w:rsidRDefault="00644AD5" w:rsidP="00E75D4E">
            <w:pPr>
              <w:spacing w:after="0"/>
              <w:jc w:val="center"/>
              <w:rPr>
                <w:sz w:val="20"/>
                <w:szCs w:val="20"/>
              </w:rPr>
            </w:pPr>
            <w:r w:rsidRPr="00374C06">
              <w:rPr>
                <w:sz w:val="20"/>
                <w:szCs w:val="20"/>
              </w:rPr>
              <w:t>125%</w:t>
            </w:r>
          </w:p>
        </w:tc>
        <w:tc>
          <w:tcPr>
            <w:tcW w:w="989" w:type="dxa"/>
            <w:shd w:val="clear" w:color="auto" w:fill="auto"/>
            <w:tcMar>
              <w:left w:w="0" w:type="dxa"/>
              <w:right w:w="0" w:type="dxa"/>
            </w:tcMar>
          </w:tcPr>
          <w:p w14:paraId="27E8B020" w14:textId="67AB3CCA" w:rsidR="00644AD5" w:rsidRPr="00374C06" w:rsidRDefault="00644AD5" w:rsidP="00E75D4E">
            <w:pPr>
              <w:spacing w:after="0"/>
              <w:jc w:val="center"/>
              <w:rPr>
                <w:sz w:val="20"/>
                <w:szCs w:val="20"/>
              </w:rPr>
            </w:pPr>
            <w:r w:rsidRPr="00374C06">
              <w:rPr>
                <w:sz w:val="20"/>
                <w:szCs w:val="20"/>
              </w:rPr>
              <w:t>125%</w:t>
            </w:r>
          </w:p>
        </w:tc>
        <w:tc>
          <w:tcPr>
            <w:tcW w:w="1089" w:type="dxa"/>
            <w:shd w:val="clear" w:color="auto" w:fill="E5DFEC" w:themeFill="accent4" w:themeFillTint="33"/>
            <w:tcMar>
              <w:left w:w="0" w:type="dxa"/>
              <w:right w:w="0" w:type="dxa"/>
            </w:tcMar>
          </w:tcPr>
          <w:p w14:paraId="24B99132" w14:textId="2F4808F8" w:rsidR="00644AD5" w:rsidRPr="00374C06" w:rsidRDefault="00644AD5" w:rsidP="00E75D4E">
            <w:pPr>
              <w:spacing w:after="0"/>
              <w:jc w:val="center"/>
              <w:rPr>
                <w:sz w:val="20"/>
                <w:szCs w:val="20"/>
              </w:rPr>
            </w:pPr>
            <w:r w:rsidRPr="00374C06">
              <w:rPr>
                <w:sz w:val="20"/>
                <w:szCs w:val="20"/>
              </w:rPr>
              <w:t>115%/120%</w:t>
            </w:r>
          </w:p>
        </w:tc>
        <w:tc>
          <w:tcPr>
            <w:tcW w:w="1089" w:type="dxa"/>
            <w:shd w:val="clear" w:color="auto" w:fill="E5DFEC" w:themeFill="accent4" w:themeFillTint="33"/>
            <w:tcMar>
              <w:left w:w="0" w:type="dxa"/>
              <w:right w:w="0" w:type="dxa"/>
            </w:tcMar>
          </w:tcPr>
          <w:p w14:paraId="7E03EF45" w14:textId="798CE809" w:rsidR="00644AD5" w:rsidRPr="00374C06" w:rsidRDefault="00644AD5" w:rsidP="00E75D4E">
            <w:pPr>
              <w:spacing w:after="0"/>
              <w:jc w:val="center"/>
              <w:rPr>
                <w:sz w:val="20"/>
                <w:szCs w:val="20"/>
              </w:rPr>
            </w:pPr>
            <w:r w:rsidRPr="00374C06">
              <w:rPr>
                <w:sz w:val="20"/>
                <w:szCs w:val="20"/>
              </w:rPr>
              <w:t>115%/120%</w:t>
            </w:r>
          </w:p>
        </w:tc>
        <w:tc>
          <w:tcPr>
            <w:tcW w:w="1089" w:type="dxa"/>
            <w:shd w:val="clear" w:color="auto" w:fill="E5DFEC" w:themeFill="accent4" w:themeFillTint="33"/>
            <w:tcMar>
              <w:left w:w="0" w:type="dxa"/>
              <w:right w:w="0" w:type="dxa"/>
            </w:tcMar>
          </w:tcPr>
          <w:p w14:paraId="77FF2E89" w14:textId="2DAE8839" w:rsidR="00644AD5" w:rsidRPr="00374C06" w:rsidRDefault="00644AD5" w:rsidP="00E75D4E">
            <w:pPr>
              <w:spacing w:after="0"/>
              <w:jc w:val="center"/>
              <w:rPr>
                <w:sz w:val="20"/>
                <w:szCs w:val="20"/>
              </w:rPr>
            </w:pPr>
            <w:r w:rsidRPr="00374C06">
              <w:rPr>
                <w:sz w:val="20"/>
                <w:szCs w:val="20"/>
              </w:rPr>
              <w:t>115%/120%</w:t>
            </w:r>
          </w:p>
        </w:tc>
        <w:tc>
          <w:tcPr>
            <w:tcW w:w="1089" w:type="dxa"/>
            <w:shd w:val="clear" w:color="auto" w:fill="E5DFEC" w:themeFill="accent4" w:themeFillTint="33"/>
            <w:tcMar>
              <w:left w:w="0" w:type="dxa"/>
              <w:right w:w="0" w:type="dxa"/>
            </w:tcMar>
          </w:tcPr>
          <w:p w14:paraId="13A9435F" w14:textId="1BACBC5D" w:rsidR="00644AD5" w:rsidRPr="00374C06" w:rsidRDefault="00644AD5" w:rsidP="00E75D4E">
            <w:pPr>
              <w:spacing w:after="0"/>
              <w:jc w:val="center"/>
              <w:rPr>
                <w:sz w:val="20"/>
                <w:szCs w:val="20"/>
              </w:rPr>
            </w:pPr>
            <w:r w:rsidRPr="00374C06">
              <w:rPr>
                <w:sz w:val="20"/>
                <w:szCs w:val="20"/>
              </w:rPr>
              <w:t>115%/120%</w:t>
            </w:r>
          </w:p>
        </w:tc>
      </w:tr>
      <w:tr w:rsidR="00671A5B" w:rsidRPr="00435C2F" w14:paraId="310B7F2C" w14:textId="77777777" w:rsidTr="00E75D4E">
        <w:trPr>
          <w:trHeight w:val="20"/>
        </w:trPr>
        <w:tc>
          <w:tcPr>
            <w:tcW w:w="1260" w:type="dxa"/>
            <w:tcBorders>
              <w:right w:val="single" w:sz="4" w:space="0" w:color="auto"/>
            </w:tcBorders>
          </w:tcPr>
          <w:p w14:paraId="691DD6A4" w14:textId="77777777" w:rsidR="00374C06" w:rsidRPr="00435C2F" w:rsidRDefault="00374C06" w:rsidP="00374C06">
            <w:pPr>
              <w:pStyle w:val="NoSpacing"/>
              <w:spacing w:after="0"/>
              <w:rPr>
                <w:rFonts w:ascii="Times New Roman" w:hAnsi="Times New Roman" w:cs="Times New Roman"/>
                <w:b/>
              </w:rPr>
            </w:pPr>
            <w:r w:rsidRPr="00435C2F">
              <w:rPr>
                <w:rFonts w:ascii="Times New Roman" w:hAnsi="Times New Roman" w:cs="Times New Roman"/>
                <w:b/>
              </w:rPr>
              <w:t>LMN</w:t>
            </w:r>
          </w:p>
        </w:tc>
        <w:tc>
          <w:tcPr>
            <w:tcW w:w="777" w:type="dxa"/>
            <w:tcBorders>
              <w:left w:val="single" w:sz="4" w:space="0" w:color="auto"/>
            </w:tcBorders>
            <w:tcMar>
              <w:left w:w="0" w:type="dxa"/>
              <w:right w:w="0" w:type="dxa"/>
            </w:tcMar>
          </w:tcPr>
          <w:p w14:paraId="38C03070"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989" w:type="dxa"/>
            <w:tcMar>
              <w:left w:w="0" w:type="dxa"/>
              <w:right w:w="0" w:type="dxa"/>
            </w:tcMar>
          </w:tcPr>
          <w:p w14:paraId="400F10E1"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989" w:type="dxa"/>
            <w:tcMar>
              <w:left w:w="0" w:type="dxa"/>
              <w:right w:w="0" w:type="dxa"/>
            </w:tcMar>
          </w:tcPr>
          <w:p w14:paraId="1D075990"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989" w:type="dxa"/>
            <w:tcMar>
              <w:left w:w="0" w:type="dxa"/>
              <w:right w:w="0" w:type="dxa"/>
            </w:tcMar>
          </w:tcPr>
          <w:p w14:paraId="3E03AA47"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1089" w:type="dxa"/>
            <w:shd w:val="clear" w:color="auto" w:fill="E5DFEC" w:themeFill="accent4" w:themeFillTint="33"/>
            <w:tcMar>
              <w:left w:w="0" w:type="dxa"/>
              <w:right w:w="0" w:type="dxa"/>
            </w:tcMar>
          </w:tcPr>
          <w:p w14:paraId="2DA82BC7"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115%/120%</w:t>
            </w:r>
          </w:p>
        </w:tc>
        <w:tc>
          <w:tcPr>
            <w:tcW w:w="1089" w:type="dxa"/>
            <w:shd w:val="clear" w:color="auto" w:fill="E5DFEC" w:themeFill="accent4" w:themeFillTint="33"/>
            <w:tcMar>
              <w:left w:w="0" w:type="dxa"/>
              <w:right w:w="0" w:type="dxa"/>
            </w:tcMar>
          </w:tcPr>
          <w:p w14:paraId="27A43DCC"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115%/120%</w:t>
            </w:r>
          </w:p>
        </w:tc>
        <w:tc>
          <w:tcPr>
            <w:tcW w:w="1089" w:type="dxa"/>
            <w:shd w:val="clear" w:color="auto" w:fill="E5DFEC" w:themeFill="accent4" w:themeFillTint="33"/>
            <w:tcMar>
              <w:left w:w="0" w:type="dxa"/>
              <w:right w:w="0" w:type="dxa"/>
            </w:tcMar>
          </w:tcPr>
          <w:p w14:paraId="62E3800B"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115%/120%</w:t>
            </w:r>
          </w:p>
        </w:tc>
        <w:tc>
          <w:tcPr>
            <w:tcW w:w="1089" w:type="dxa"/>
            <w:shd w:val="clear" w:color="auto" w:fill="E5DFEC" w:themeFill="accent4" w:themeFillTint="33"/>
            <w:tcMar>
              <w:left w:w="0" w:type="dxa"/>
              <w:right w:w="0" w:type="dxa"/>
            </w:tcMar>
          </w:tcPr>
          <w:p w14:paraId="4CB40408"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115%/120%</w:t>
            </w:r>
          </w:p>
        </w:tc>
      </w:tr>
      <w:tr w:rsidR="00671A5B" w:rsidRPr="00435C2F" w14:paraId="28C2190D" w14:textId="77777777" w:rsidTr="00E75D4E">
        <w:trPr>
          <w:trHeight w:val="20"/>
        </w:trPr>
        <w:tc>
          <w:tcPr>
            <w:tcW w:w="1260" w:type="dxa"/>
            <w:tcBorders>
              <w:right w:val="single" w:sz="4" w:space="0" w:color="auto"/>
            </w:tcBorders>
          </w:tcPr>
          <w:p w14:paraId="211A93C7" w14:textId="77777777" w:rsidR="00374C06" w:rsidRPr="00435C2F" w:rsidRDefault="00374C06" w:rsidP="00374C06">
            <w:pPr>
              <w:pStyle w:val="NoSpacing"/>
              <w:spacing w:after="0"/>
              <w:rPr>
                <w:rFonts w:ascii="Times New Roman" w:hAnsi="Times New Roman" w:cs="Times New Roman"/>
                <w:b/>
              </w:rPr>
            </w:pPr>
            <w:r w:rsidRPr="00435C2F">
              <w:rPr>
                <w:rFonts w:ascii="Times New Roman" w:hAnsi="Times New Roman" w:cs="Times New Roman"/>
                <w:b/>
              </w:rPr>
              <w:t>LGS</w:t>
            </w:r>
          </w:p>
        </w:tc>
        <w:tc>
          <w:tcPr>
            <w:tcW w:w="777" w:type="dxa"/>
            <w:tcBorders>
              <w:left w:val="single" w:sz="4" w:space="0" w:color="auto"/>
            </w:tcBorders>
            <w:tcMar>
              <w:left w:w="0" w:type="dxa"/>
              <w:right w:w="0" w:type="dxa"/>
            </w:tcMar>
          </w:tcPr>
          <w:p w14:paraId="13A3F623"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989" w:type="dxa"/>
            <w:tcMar>
              <w:left w:w="0" w:type="dxa"/>
              <w:right w:w="0" w:type="dxa"/>
            </w:tcMar>
          </w:tcPr>
          <w:p w14:paraId="14266313"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989" w:type="dxa"/>
            <w:tcMar>
              <w:left w:w="0" w:type="dxa"/>
              <w:right w:w="0" w:type="dxa"/>
            </w:tcMar>
          </w:tcPr>
          <w:p w14:paraId="1FB398E3"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989" w:type="dxa"/>
            <w:tcMar>
              <w:left w:w="0" w:type="dxa"/>
              <w:right w:w="0" w:type="dxa"/>
            </w:tcMar>
          </w:tcPr>
          <w:p w14:paraId="47FCECCB"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1089" w:type="dxa"/>
            <w:shd w:val="clear" w:color="auto" w:fill="E5DFEC" w:themeFill="accent4" w:themeFillTint="33"/>
            <w:tcMar>
              <w:left w:w="0" w:type="dxa"/>
              <w:right w:w="0" w:type="dxa"/>
            </w:tcMar>
          </w:tcPr>
          <w:p w14:paraId="4D1507A7"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115%/120%</w:t>
            </w:r>
          </w:p>
        </w:tc>
        <w:tc>
          <w:tcPr>
            <w:tcW w:w="1089" w:type="dxa"/>
            <w:shd w:val="clear" w:color="auto" w:fill="E5DFEC" w:themeFill="accent4" w:themeFillTint="33"/>
            <w:tcMar>
              <w:left w:w="0" w:type="dxa"/>
              <w:right w:w="0" w:type="dxa"/>
            </w:tcMar>
          </w:tcPr>
          <w:p w14:paraId="3AD37EB0"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115%/120%</w:t>
            </w:r>
          </w:p>
        </w:tc>
        <w:tc>
          <w:tcPr>
            <w:tcW w:w="1089" w:type="dxa"/>
            <w:shd w:val="clear" w:color="auto" w:fill="E5DFEC" w:themeFill="accent4" w:themeFillTint="33"/>
            <w:tcMar>
              <w:left w:w="0" w:type="dxa"/>
              <w:right w:w="0" w:type="dxa"/>
            </w:tcMar>
          </w:tcPr>
          <w:p w14:paraId="5EB00ACA"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115%/120%</w:t>
            </w:r>
          </w:p>
        </w:tc>
        <w:tc>
          <w:tcPr>
            <w:tcW w:w="1089" w:type="dxa"/>
            <w:shd w:val="clear" w:color="auto" w:fill="E5DFEC" w:themeFill="accent4" w:themeFillTint="33"/>
            <w:tcMar>
              <w:left w:w="0" w:type="dxa"/>
              <w:right w:w="0" w:type="dxa"/>
            </w:tcMar>
          </w:tcPr>
          <w:p w14:paraId="229AD3F5"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115%/120%</w:t>
            </w:r>
          </w:p>
        </w:tc>
      </w:tr>
      <w:tr w:rsidR="00671A5B" w:rsidRPr="00435C2F" w14:paraId="7E64BECB" w14:textId="77777777" w:rsidTr="00E75D4E">
        <w:trPr>
          <w:trHeight w:val="20"/>
        </w:trPr>
        <w:tc>
          <w:tcPr>
            <w:tcW w:w="1260" w:type="dxa"/>
            <w:tcBorders>
              <w:right w:val="single" w:sz="4" w:space="0" w:color="auto"/>
            </w:tcBorders>
          </w:tcPr>
          <w:p w14:paraId="3947C04B" w14:textId="77777777" w:rsidR="00374C06" w:rsidRPr="00435C2F" w:rsidRDefault="00374C06" w:rsidP="00374C06">
            <w:pPr>
              <w:pStyle w:val="NoSpacing"/>
              <w:spacing w:after="0"/>
              <w:rPr>
                <w:rFonts w:ascii="Times New Roman" w:hAnsi="Times New Roman" w:cs="Times New Roman"/>
                <w:b/>
              </w:rPr>
            </w:pPr>
            <w:r w:rsidRPr="00435C2F">
              <w:rPr>
                <w:rFonts w:ascii="Times New Roman" w:hAnsi="Times New Roman" w:cs="Times New Roman"/>
                <w:b/>
              </w:rPr>
              <w:t>LWG</w:t>
            </w:r>
          </w:p>
        </w:tc>
        <w:tc>
          <w:tcPr>
            <w:tcW w:w="777" w:type="dxa"/>
            <w:tcBorders>
              <w:left w:val="single" w:sz="4" w:space="0" w:color="auto"/>
            </w:tcBorders>
            <w:tcMar>
              <w:left w:w="0" w:type="dxa"/>
              <w:right w:w="0" w:type="dxa"/>
            </w:tcMar>
          </w:tcPr>
          <w:p w14:paraId="10A8DC69"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989" w:type="dxa"/>
            <w:tcMar>
              <w:left w:w="0" w:type="dxa"/>
              <w:right w:w="0" w:type="dxa"/>
            </w:tcMar>
          </w:tcPr>
          <w:p w14:paraId="391C4F7C"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989" w:type="dxa"/>
            <w:tcMar>
              <w:left w:w="0" w:type="dxa"/>
              <w:right w:w="0" w:type="dxa"/>
            </w:tcMar>
          </w:tcPr>
          <w:p w14:paraId="0E220963"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989" w:type="dxa"/>
            <w:tcMar>
              <w:left w:w="0" w:type="dxa"/>
              <w:right w:w="0" w:type="dxa"/>
            </w:tcMar>
          </w:tcPr>
          <w:p w14:paraId="4ACEDD6D"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1089" w:type="dxa"/>
            <w:shd w:val="clear" w:color="auto" w:fill="E5DFEC" w:themeFill="accent4" w:themeFillTint="33"/>
            <w:tcMar>
              <w:left w:w="0" w:type="dxa"/>
              <w:right w:w="0" w:type="dxa"/>
            </w:tcMar>
          </w:tcPr>
          <w:p w14:paraId="7D117CDB"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115%/120%</w:t>
            </w:r>
          </w:p>
        </w:tc>
        <w:tc>
          <w:tcPr>
            <w:tcW w:w="1089" w:type="dxa"/>
            <w:shd w:val="clear" w:color="auto" w:fill="E5DFEC" w:themeFill="accent4" w:themeFillTint="33"/>
            <w:tcMar>
              <w:left w:w="0" w:type="dxa"/>
              <w:right w:w="0" w:type="dxa"/>
            </w:tcMar>
          </w:tcPr>
          <w:p w14:paraId="22EFCABB"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115%/120%</w:t>
            </w:r>
          </w:p>
        </w:tc>
        <w:tc>
          <w:tcPr>
            <w:tcW w:w="1089" w:type="dxa"/>
            <w:shd w:val="clear" w:color="auto" w:fill="E5DFEC" w:themeFill="accent4" w:themeFillTint="33"/>
            <w:tcMar>
              <w:left w:w="0" w:type="dxa"/>
              <w:right w:w="0" w:type="dxa"/>
            </w:tcMar>
          </w:tcPr>
          <w:p w14:paraId="6441346F"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115%/120%</w:t>
            </w:r>
          </w:p>
        </w:tc>
        <w:tc>
          <w:tcPr>
            <w:tcW w:w="1089" w:type="dxa"/>
            <w:shd w:val="clear" w:color="auto" w:fill="E5DFEC" w:themeFill="accent4" w:themeFillTint="33"/>
            <w:tcMar>
              <w:left w:w="0" w:type="dxa"/>
              <w:right w:w="0" w:type="dxa"/>
            </w:tcMar>
          </w:tcPr>
          <w:p w14:paraId="3485719F"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115%/120%</w:t>
            </w:r>
          </w:p>
        </w:tc>
      </w:tr>
      <w:tr w:rsidR="00374C06" w:rsidRPr="00435C2F" w14:paraId="44FB6B29" w14:textId="77777777" w:rsidTr="00E75D4E">
        <w:trPr>
          <w:trHeight w:val="20"/>
        </w:trPr>
        <w:tc>
          <w:tcPr>
            <w:tcW w:w="1260" w:type="dxa"/>
            <w:tcBorders>
              <w:bottom w:val="single" w:sz="4" w:space="0" w:color="auto"/>
              <w:right w:val="single" w:sz="4" w:space="0" w:color="auto"/>
            </w:tcBorders>
          </w:tcPr>
          <w:p w14:paraId="79F8705F" w14:textId="77777777" w:rsidR="00374C06" w:rsidRPr="00435C2F" w:rsidRDefault="00374C06" w:rsidP="00374C06">
            <w:pPr>
              <w:pStyle w:val="NoSpacing"/>
              <w:spacing w:after="0"/>
              <w:rPr>
                <w:rFonts w:ascii="Times New Roman" w:hAnsi="Times New Roman" w:cs="Times New Roman"/>
                <w:b/>
              </w:rPr>
            </w:pPr>
            <w:r w:rsidRPr="00435C2F">
              <w:rPr>
                <w:rFonts w:ascii="Times New Roman" w:hAnsi="Times New Roman" w:cs="Times New Roman"/>
                <w:b/>
              </w:rPr>
              <w:t>RIS</w:t>
            </w:r>
          </w:p>
        </w:tc>
        <w:tc>
          <w:tcPr>
            <w:tcW w:w="777" w:type="dxa"/>
            <w:tcBorders>
              <w:left w:val="single" w:sz="4" w:space="0" w:color="auto"/>
              <w:bottom w:val="single" w:sz="4" w:space="0" w:color="auto"/>
            </w:tcBorders>
            <w:tcMar>
              <w:left w:w="0" w:type="dxa"/>
              <w:right w:w="0" w:type="dxa"/>
            </w:tcMar>
          </w:tcPr>
          <w:p w14:paraId="4AFBEBD1"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989" w:type="dxa"/>
            <w:tcBorders>
              <w:bottom w:val="single" w:sz="4" w:space="0" w:color="auto"/>
            </w:tcBorders>
            <w:tcMar>
              <w:left w:w="0" w:type="dxa"/>
              <w:right w:w="0" w:type="dxa"/>
            </w:tcMar>
          </w:tcPr>
          <w:p w14:paraId="3D927BC8"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989" w:type="dxa"/>
            <w:tcBorders>
              <w:bottom w:val="single" w:sz="4" w:space="0" w:color="auto"/>
            </w:tcBorders>
            <w:tcMar>
              <w:left w:w="0" w:type="dxa"/>
              <w:right w:w="0" w:type="dxa"/>
            </w:tcMar>
          </w:tcPr>
          <w:p w14:paraId="37A36CBE"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989" w:type="dxa"/>
            <w:tcBorders>
              <w:bottom w:val="single" w:sz="4" w:space="0" w:color="auto"/>
            </w:tcBorders>
            <w:tcMar>
              <w:left w:w="0" w:type="dxa"/>
              <w:right w:w="0" w:type="dxa"/>
            </w:tcMar>
          </w:tcPr>
          <w:p w14:paraId="138F7AA3"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1089" w:type="dxa"/>
            <w:tcBorders>
              <w:bottom w:val="single" w:sz="4" w:space="0" w:color="auto"/>
            </w:tcBorders>
            <w:tcMar>
              <w:left w:w="0" w:type="dxa"/>
              <w:right w:w="0" w:type="dxa"/>
            </w:tcMar>
          </w:tcPr>
          <w:p w14:paraId="026068E1"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1089" w:type="dxa"/>
            <w:tcBorders>
              <w:bottom w:val="single" w:sz="4" w:space="0" w:color="auto"/>
            </w:tcBorders>
            <w:tcMar>
              <w:left w:w="0" w:type="dxa"/>
              <w:right w:w="0" w:type="dxa"/>
            </w:tcMar>
          </w:tcPr>
          <w:p w14:paraId="47A432EA"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1089" w:type="dxa"/>
            <w:tcBorders>
              <w:bottom w:val="single" w:sz="4" w:space="0" w:color="auto"/>
            </w:tcBorders>
            <w:tcMar>
              <w:left w:w="0" w:type="dxa"/>
              <w:right w:w="0" w:type="dxa"/>
            </w:tcMar>
          </w:tcPr>
          <w:p w14:paraId="0142172D"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c>
          <w:tcPr>
            <w:tcW w:w="1089" w:type="dxa"/>
            <w:tcBorders>
              <w:bottom w:val="single" w:sz="4" w:space="0" w:color="auto"/>
            </w:tcBorders>
            <w:tcMar>
              <w:left w:w="0" w:type="dxa"/>
              <w:right w:w="0" w:type="dxa"/>
            </w:tcMar>
          </w:tcPr>
          <w:p w14:paraId="5F7FCD7F" w14:textId="77777777" w:rsidR="00374C06" w:rsidRPr="00435C2F" w:rsidRDefault="00374C06" w:rsidP="00E75D4E">
            <w:pPr>
              <w:pStyle w:val="NoSpacing"/>
              <w:spacing w:after="0"/>
              <w:jc w:val="center"/>
              <w:rPr>
                <w:rFonts w:ascii="Times New Roman" w:hAnsi="Times New Roman" w:cs="Times New Roman"/>
              </w:rPr>
            </w:pPr>
            <w:r w:rsidRPr="00435C2F">
              <w:rPr>
                <w:rFonts w:ascii="Times New Roman" w:hAnsi="Times New Roman" w:cs="Times New Roman"/>
              </w:rPr>
              <w:t>125%</w:t>
            </w:r>
          </w:p>
        </w:tc>
      </w:tr>
    </w:tbl>
    <w:p w14:paraId="7C4AEA05" w14:textId="249ACCCE" w:rsidR="009D664B" w:rsidRPr="00435C2F" w:rsidRDefault="00671A5B" w:rsidP="009D664B">
      <w:pPr>
        <w:rPr>
          <w:color w:val="000000"/>
          <w:sz w:val="20"/>
          <w:szCs w:val="20"/>
        </w:rPr>
      </w:pPr>
      <w:r>
        <w:rPr>
          <w:color w:val="000000"/>
          <w:sz w:val="20"/>
          <w:szCs w:val="20"/>
        </w:rPr>
        <w:t xml:space="preserve">* </w:t>
      </w:r>
      <w:proofErr w:type="gramStart"/>
      <w:r>
        <w:rPr>
          <w:color w:val="000000"/>
          <w:sz w:val="20"/>
          <w:szCs w:val="20"/>
        </w:rPr>
        <w:t>if</w:t>
      </w:r>
      <w:proofErr w:type="gramEnd"/>
      <w:r>
        <w:rPr>
          <w:color w:val="000000"/>
          <w:sz w:val="20"/>
          <w:szCs w:val="20"/>
        </w:rPr>
        <w:t xml:space="preserve"> determined that exceedance was the result from spill operations in the lower Snake River. </w:t>
      </w:r>
    </w:p>
    <w:p w14:paraId="6050004D" w14:textId="4A594839" w:rsidR="00212AEB" w:rsidRPr="00435C2F" w:rsidRDefault="00212AEB">
      <w:r w:rsidRPr="00435C2F">
        <w:lastRenderedPageBreak/>
        <w:t xml:space="preserve">The spill priority list </w:t>
      </w:r>
      <w:r w:rsidR="008D66F5">
        <w:t xml:space="preserve">in </w:t>
      </w:r>
      <w:r w:rsidR="008D66F5" w:rsidRPr="00435C2F">
        <w:fldChar w:fldCharType="begin"/>
      </w:r>
      <w:r w:rsidR="008D66F5" w:rsidRPr="00435C2F">
        <w:instrText xml:space="preserve"> REF _Ref36480980 \h  \* MERGEFORMAT </w:instrText>
      </w:r>
      <w:r w:rsidR="008D66F5" w:rsidRPr="00435C2F">
        <w:fldChar w:fldCharType="separate"/>
      </w:r>
      <w:r w:rsidR="008D66F5" w:rsidRPr="00435C2F">
        <w:t xml:space="preserve">Table </w:t>
      </w:r>
      <w:r w:rsidR="008D66F5" w:rsidRPr="00435C2F">
        <w:rPr>
          <w:noProof/>
        </w:rPr>
        <w:t>8</w:t>
      </w:r>
      <w:r w:rsidR="008D66F5" w:rsidRPr="00435C2F">
        <w:fldChar w:fldCharType="end"/>
      </w:r>
      <w:r w:rsidR="008D66F5">
        <w:t xml:space="preserve"> </w:t>
      </w:r>
      <w:r w:rsidRPr="00435C2F">
        <w:t xml:space="preserve">will be </w:t>
      </w:r>
      <w:r w:rsidR="008D66F5">
        <w:t xml:space="preserve">used </w:t>
      </w:r>
      <w:r w:rsidRPr="00435C2F">
        <w:t xml:space="preserve">to communicate spill caps to meet the applicable water quality criteria (Level 1) and used to distribute lack of market spill </w:t>
      </w:r>
      <w:r w:rsidR="008D66F5">
        <w:t xml:space="preserve">in the event of a GBT exceedance. </w:t>
      </w:r>
    </w:p>
    <w:p w14:paraId="44DF8251" w14:textId="71561FC9" w:rsidR="00212AEB" w:rsidRPr="00435C2F" w:rsidRDefault="00212AEB" w:rsidP="00212AEB">
      <w:pPr>
        <w:pStyle w:val="Caption"/>
      </w:pPr>
      <w:bookmarkStart w:id="53" w:name="_Ref36480980"/>
      <w:r w:rsidRPr="00435C2F">
        <w:t xml:space="preserve">Table </w:t>
      </w:r>
      <w:r w:rsidR="0095501F">
        <w:rPr>
          <w:noProof/>
        </w:rPr>
        <w:fldChar w:fldCharType="begin"/>
      </w:r>
      <w:r w:rsidR="0095501F">
        <w:rPr>
          <w:noProof/>
        </w:rPr>
        <w:instrText xml:space="preserve"> SEQ Table \* ARABIC </w:instrText>
      </w:r>
      <w:r w:rsidR="0095501F">
        <w:rPr>
          <w:noProof/>
        </w:rPr>
        <w:fldChar w:fldCharType="separate"/>
      </w:r>
      <w:r w:rsidR="00500A0F" w:rsidRPr="00435C2F">
        <w:rPr>
          <w:noProof/>
        </w:rPr>
        <w:t>8</w:t>
      </w:r>
      <w:r w:rsidR="0095501F">
        <w:rPr>
          <w:noProof/>
        </w:rPr>
        <w:fldChar w:fldCharType="end"/>
      </w:r>
      <w:bookmarkEnd w:id="53"/>
      <w:r w:rsidRPr="00435C2F">
        <w:t>.  The TDG target for each level of the Spill Priority List by project if there is an exceedance of the GBT threshold.</w:t>
      </w:r>
    </w:p>
    <w:tbl>
      <w:tblPr>
        <w:tblStyle w:val="TableGrid"/>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1"/>
        <w:gridCol w:w="2361"/>
        <w:gridCol w:w="990"/>
        <w:gridCol w:w="1076"/>
        <w:gridCol w:w="1075"/>
        <w:gridCol w:w="1075"/>
        <w:gridCol w:w="1075"/>
      </w:tblGrid>
      <w:tr w:rsidR="00212AEB" w:rsidRPr="00435C2F" w14:paraId="330B8833" w14:textId="77777777" w:rsidTr="004B0D67">
        <w:trPr>
          <w:trHeight w:val="350"/>
        </w:trPr>
        <w:tc>
          <w:tcPr>
            <w:tcW w:w="1811" w:type="dxa"/>
            <w:tcBorders>
              <w:top w:val="single" w:sz="4" w:space="0" w:color="auto"/>
              <w:left w:val="single" w:sz="4" w:space="0" w:color="auto"/>
              <w:bottom w:val="single" w:sz="4" w:space="0" w:color="auto"/>
            </w:tcBorders>
            <w:shd w:val="clear" w:color="auto" w:fill="F2F2F2" w:themeFill="background1" w:themeFillShade="F2"/>
            <w:vAlign w:val="center"/>
          </w:tcPr>
          <w:p w14:paraId="4D9724FB" w14:textId="77777777" w:rsidR="00212AEB" w:rsidRPr="0072179E" w:rsidRDefault="00212AEB" w:rsidP="004B0D67">
            <w:pPr>
              <w:keepNext/>
              <w:spacing w:after="0"/>
              <w:rPr>
                <w:b/>
              </w:rPr>
            </w:pPr>
            <w:r w:rsidRPr="0072179E">
              <w:rPr>
                <w:b/>
              </w:rPr>
              <w:t>Project</w:t>
            </w:r>
          </w:p>
        </w:tc>
        <w:tc>
          <w:tcPr>
            <w:tcW w:w="2361" w:type="dxa"/>
            <w:tcBorders>
              <w:top w:val="single" w:sz="4" w:space="0" w:color="auto"/>
              <w:bottom w:val="single" w:sz="4" w:space="0" w:color="auto"/>
            </w:tcBorders>
            <w:shd w:val="clear" w:color="auto" w:fill="F2F2F2" w:themeFill="background1" w:themeFillShade="F2"/>
            <w:vAlign w:val="center"/>
          </w:tcPr>
          <w:p w14:paraId="3A729CEE" w14:textId="77777777" w:rsidR="00212AEB" w:rsidRPr="0072179E" w:rsidRDefault="00212AEB" w:rsidP="004B0D67">
            <w:pPr>
              <w:keepNext/>
              <w:spacing w:after="0"/>
              <w:rPr>
                <w:b/>
              </w:rPr>
            </w:pPr>
            <w:r w:rsidRPr="0072179E">
              <w:rPr>
                <w:b/>
              </w:rPr>
              <w:t>Level 1</w:t>
            </w:r>
          </w:p>
        </w:tc>
        <w:tc>
          <w:tcPr>
            <w:tcW w:w="990" w:type="dxa"/>
            <w:tcBorders>
              <w:top w:val="single" w:sz="4" w:space="0" w:color="auto"/>
              <w:bottom w:val="single" w:sz="4" w:space="0" w:color="auto"/>
            </w:tcBorders>
            <w:shd w:val="clear" w:color="auto" w:fill="F2F2F2" w:themeFill="background1" w:themeFillShade="F2"/>
            <w:vAlign w:val="center"/>
          </w:tcPr>
          <w:p w14:paraId="59FB37F1" w14:textId="77777777" w:rsidR="00212AEB" w:rsidRPr="0072179E" w:rsidRDefault="00212AEB" w:rsidP="004B0D67">
            <w:pPr>
              <w:keepNext/>
              <w:spacing w:after="0"/>
              <w:rPr>
                <w:b/>
              </w:rPr>
            </w:pPr>
            <w:r w:rsidRPr="0072179E">
              <w:rPr>
                <w:b/>
              </w:rPr>
              <w:t>Level 2</w:t>
            </w:r>
          </w:p>
        </w:tc>
        <w:tc>
          <w:tcPr>
            <w:tcW w:w="1076" w:type="dxa"/>
            <w:tcBorders>
              <w:top w:val="single" w:sz="4" w:space="0" w:color="auto"/>
              <w:bottom w:val="single" w:sz="4" w:space="0" w:color="auto"/>
            </w:tcBorders>
            <w:shd w:val="clear" w:color="auto" w:fill="F2F2F2" w:themeFill="background1" w:themeFillShade="F2"/>
            <w:vAlign w:val="center"/>
          </w:tcPr>
          <w:p w14:paraId="159DFE75" w14:textId="77777777" w:rsidR="00212AEB" w:rsidRPr="0072179E" w:rsidRDefault="00212AEB" w:rsidP="004B0D67">
            <w:pPr>
              <w:keepNext/>
              <w:spacing w:after="0"/>
              <w:rPr>
                <w:b/>
              </w:rPr>
            </w:pPr>
            <w:r w:rsidRPr="0072179E">
              <w:rPr>
                <w:b/>
              </w:rPr>
              <w:t>Level 3</w:t>
            </w:r>
          </w:p>
        </w:tc>
        <w:tc>
          <w:tcPr>
            <w:tcW w:w="1075" w:type="dxa"/>
            <w:tcBorders>
              <w:top w:val="single" w:sz="4" w:space="0" w:color="auto"/>
              <w:bottom w:val="single" w:sz="4" w:space="0" w:color="auto"/>
            </w:tcBorders>
            <w:shd w:val="clear" w:color="auto" w:fill="F2F2F2" w:themeFill="background1" w:themeFillShade="F2"/>
            <w:vAlign w:val="center"/>
          </w:tcPr>
          <w:p w14:paraId="6806E676" w14:textId="51FB24B2" w:rsidR="00212AEB" w:rsidRPr="00435C2F" w:rsidRDefault="00212AEB" w:rsidP="004B0D67">
            <w:pPr>
              <w:keepNext/>
              <w:spacing w:after="0"/>
              <w:rPr>
                <w:b/>
              </w:rPr>
            </w:pPr>
            <w:r w:rsidRPr="00435C2F">
              <w:rPr>
                <w:b/>
              </w:rPr>
              <w:t>Level 4</w:t>
            </w:r>
          </w:p>
        </w:tc>
        <w:tc>
          <w:tcPr>
            <w:tcW w:w="1075" w:type="dxa"/>
            <w:tcBorders>
              <w:top w:val="single" w:sz="4" w:space="0" w:color="auto"/>
              <w:bottom w:val="single" w:sz="4" w:space="0" w:color="auto"/>
            </w:tcBorders>
            <w:shd w:val="clear" w:color="auto" w:fill="F2F2F2" w:themeFill="background1" w:themeFillShade="F2"/>
            <w:vAlign w:val="center"/>
          </w:tcPr>
          <w:p w14:paraId="1C0209BD" w14:textId="2ABB9675" w:rsidR="00212AEB" w:rsidRPr="00435C2F" w:rsidRDefault="00212AEB" w:rsidP="004B0D67">
            <w:pPr>
              <w:keepNext/>
              <w:spacing w:after="0"/>
              <w:rPr>
                <w:b/>
              </w:rPr>
            </w:pPr>
            <w:r w:rsidRPr="00435C2F">
              <w:rPr>
                <w:b/>
              </w:rPr>
              <w:t>Level 5</w:t>
            </w:r>
          </w:p>
        </w:tc>
        <w:tc>
          <w:tcPr>
            <w:tcW w:w="1075" w:type="dxa"/>
            <w:tcBorders>
              <w:top w:val="single" w:sz="4" w:space="0" w:color="auto"/>
              <w:bottom w:val="single" w:sz="4" w:space="0" w:color="auto"/>
              <w:right w:val="single" w:sz="4" w:space="0" w:color="auto"/>
            </w:tcBorders>
            <w:shd w:val="clear" w:color="auto" w:fill="F2F2F2" w:themeFill="background1" w:themeFillShade="F2"/>
            <w:vAlign w:val="center"/>
          </w:tcPr>
          <w:p w14:paraId="6937832D" w14:textId="07B54127" w:rsidR="00212AEB" w:rsidRPr="00435C2F" w:rsidRDefault="00212AEB" w:rsidP="004B0D67">
            <w:pPr>
              <w:keepNext/>
              <w:spacing w:after="0"/>
              <w:rPr>
                <w:b/>
              </w:rPr>
            </w:pPr>
            <w:r w:rsidRPr="00435C2F">
              <w:rPr>
                <w:b/>
              </w:rPr>
              <w:t>Level 6</w:t>
            </w:r>
          </w:p>
        </w:tc>
      </w:tr>
      <w:tr w:rsidR="00212AEB" w:rsidRPr="00435C2F" w14:paraId="362B9BEB" w14:textId="77777777" w:rsidTr="004B0D67">
        <w:tc>
          <w:tcPr>
            <w:tcW w:w="1811" w:type="dxa"/>
            <w:tcBorders>
              <w:top w:val="single" w:sz="4" w:space="0" w:color="auto"/>
              <w:left w:val="single" w:sz="4" w:space="0" w:color="auto"/>
            </w:tcBorders>
          </w:tcPr>
          <w:p w14:paraId="5C74E0BF" w14:textId="5E348B1F" w:rsidR="00212AEB" w:rsidRPr="00435C2F" w:rsidRDefault="00212AEB" w:rsidP="004B0D67">
            <w:pPr>
              <w:keepNext/>
              <w:spacing w:after="0"/>
              <w:rPr>
                <w:sz w:val="22"/>
              </w:rPr>
            </w:pPr>
            <w:r w:rsidRPr="00435C2F">
              <w:rPr>
                <w:sz w:val="22"/>
              </w:rPr>
              <w:t>Zone with</w:t>
            </w:r>
            <w:r w:rsidR="001B0EA5">
              <w:rPr>
                <w:sz w:val="22"/>
              </w:rPr>
              <w:t>out GBT exceedance</w:t>
            </w:r>
            <w:r w:rsidRPr="00435C2F">
              <w:rPr>
                <w:sz w:val="22"/>
              </w:rPr>
              <w:t xml:space="preserve"> </w:t>
            </w:r>
          </w:p>
        </w:tc>
        <w:tc>
          <w:tcPr>
            <w:tcW w:w="2361" w:type="dxa"/>
            <w:tcBorders>
              <w:top w:val="single" w:sz="4" w:space="0" w:color="auto"/>
            </w:tcBorders>
          </w:tcPr>
          <w:p w14:paraId="0ADEDF86" w14:textId="20CA0AFE" w:rsidR="00212AEB" w:rsidRPr="00435C2F" w:rsidRDefault="00C44931" w:rsidP="004B0D67">
            <w:pPr>
              <w:keepNext/>
              <w:spacing w:after="0"/>
              <w:rPr>
                <w:sz w:val="22"/>
              </w:rPr>
            </w:pPr>
            <w:r>
              <w:rPr>
                <w:sz w:val="22"/>
              </w:rPr>
              <w:t>FOP spill</w:t>
            </w:r>
          </w:p>
        </w:tc>
        <w:tc>
          <w:tcPr>
            <w:tcW w:w="990" w:type="dxa"/>
            <w:tcBorders>
              <w:top w:val="single" w:sz="4" w:space="0" w:color="auto"/>
            </w:tcBorders>
          </w:tcPr>
          <w:p w14:paraId="2331CCE2" w14:textId="021466E1" w:rsidR="00212AEB" w:rsidRPr="00435C2F" w:rsidRDefault="00DA5EE6" w:rsidP="004B0D67">
            <w:pPr>
              <w:keepNext/>
              <w:spacing w:after="0"/>
              <w:rPr>
                <w:sz w:val="22"/>
              </w:rPr>
            </w:pPr>
            <w:r>
              <w:rPr>
                <w:sz w:val="22"/>
              </w:rPr>
              <w:t>125%</w:t>
            </w:r>
          </w:p>
        </w:tc>
        <w:tc>
          <w:tcPr>
            <w:tcW w:w="1076" w:type="dxa"/>
            <w:tcBorders>
              <w:top w:val="single" w:sz="4" w:space="0" w:color="auto"/>
            </w:tcBorders>
          </w:tcPr>
          <w:p w14:paraId="488DAC3A" w14:textId="63BB667B" w:rsidR="00212AEB" w:rsidRPr="00435C2F" w:rsidRDefault="00DA5EE6" w:rsidP="004B0D67">
            <w:pPr>
              <w:keepNext/>
              <w:spacing w:after="0"/>
              <w:rPr>
                <w:sz w:val="22"/>
              </w:rPr>
            </w:pPr>
            <w:r>
              <w:rPr>
                <w:sz w:val="22"/>
              </w:rPr>
              <w:t>125%</w:t>
            </w:r>
          </w:p>
        </w:tc>
        <w:tc>
          <w:tcPr>
            <w:tcW w:w="1075" w:type="dxa"/>
            <w:tcBorders>
              <w:top w:val="single" w:sz="4" w:space="0" w:color="auto"/>
            </w:tcBorders>
          </w:tcPr>
          <w:p w14:paraId="6136FAEB" w14:textId="7987DF84" w:rsidR="00212AEB" w:rsidRPr="00435C2F" w:rsidRDefault="00212AEB" w:rsidP="004B0D67">
            <w:pPr>
              <w:keepNext/>
              <w:spacing w:after="0"/>
              <w:rPr>
                <w:sz w:val="22"/>
              </w:rPr>
            </w:pPr>
            <w:r w:rsidRPr="00435C2F">
              <w:rPr>
                <w:sz w:val="22"/>
              </w:rPr>
              <w:t>125%</w:t>
            </w:r>
          </w:p>
        </w:tc>
        <w:tc>
          <w:tcPr>
            <w:tcW w:w="1075" w:type="dxa"/>
            <w:tcBorders>
              <w:top w:val="single" w:sz="4" w:space="0" w:color="auto"/>
            </w:tcBorders>
          </w:tcPr>
          <w:p w14:paraId="496DFD99" w14:textId="6C96C310" w:rsidR="00212AEB" w:rsidRPr="00435C2F" w:rsidRDefault="00212AEB" w:rsidP="004B0D67">
            <w:pPr>
              <w:keepNext/>
              <w:spacing w:after="0"/>
              <w:rPr>
                <w:sz w:val="22"/>
              </w:rPr>
            </w:pPr>
            <w:r w:rsidRPr="00435C2F">
              <w:rPr>
                <w:sz w:val="22"/>
              </w:rPr>
              <w:t>130%</w:t>
            </w:r>
          </w:p>
        </w:tc>
        <w:tc>
          <w:tcPr>
            <w:tcW w:w="1075" w:type="dxa"/>
            <w:tcBorders>
              <w:top w:val="single" w:sz="4" w:space="0" w:color="auto"/>
              <w:right w:val="single" w:sz="4" w:space="0" w:color="auto"/>
            </w:tcBorders>
          </w:tcPr>
          <w:p w14:paraId="7E151AC3" w14:textId="153C67FC" w:rsidR="00212AEB" w:rsidRPr="00435C2F" w:rsidRDefault="00212AEB" w:rsidP="004B0D67">
            <w:pPr>
              <w:keepNext/>
              <w:spacing w:after="0"/>
              <w:rPr>
                <w:sz w:val="22"/>
              </w:rPr>
            </w:pPr>
            <w:r w:rsidRPr="00435C2F">
              <w:rPr>
                <w:sz w:val="22"/>
              </w:rPr>
              <w:t>135%</w:t>
            </w:r>
          </w:p>
        </w:tc>
      </w:tr>
      <w:tr w:rsidR="00212AEB" w:rsidRPr="00435C2F" w14:paraId="597F5E5E" w14:textId="77777777" w:rsidTr="004B0D67">
        <w:tc>
          <w:tcPr>
            <w:tcW w:w="1811" w:type="dxa"/>
            <w:tcBorders>
              <w:top w:val="single" w:sz="4" w:space="0" w:color="auto"/>
              <w:left w:val="single" w:sz="4" w:space="0" w:color="auto"/>
            </w:tcBorders>
          </w:tcPr>
          <w:p w14:paraId="0E7E3946" w14:textId="11E568F4" w:rsidR="00212AEB" w:rsidRPr="00435C2F" w:rsidRDefault="00212AEB" w:rsidP="004B0D67">
            <w:pPr>
              <w:keepNext/>
              <w:spacing w:after="0"/>
              <w:rPr>
                <w:sz w:val="22"/>
              </w:rPr>
            </w:pPr>
            <w:r w:rsidRPr="00435C2F">
              <w:rPr>
                <w:sz w:val="22"/>
              </w:rPr>
              <w:t>Zone with GBT exceedance</w:t>
            </w:r>
          </w:p>
        </w:tc>
        <w:tc>
          <w:tcPr>
            <w:tcW w:w="2361" w:type="dxa"/>
            <w:tcBorders>
              <w:top w:val="single" w:sz="4" w:space="0" w:color="auto"/>
            </w:tcBorders>
          </w:tcPr>
          <w:p w14:paraId="1B67E23D" w14:textId="79779271" w:rsidR="00212AEB" w:rsidRPr="00435C2F" w:rsidRDefault="00212AEB" w:rsidP="004B0D67">
            <w:pPr>
              <w:keepNext/>
              <w:spacing w:after="0"/>
              <w:rPr>
                <w:sz w:val="22"/>
              </w:rPr>
            </w:pPr>
            <w:r w:rsidRPr="00435C2F">
              <w:rPr>
                <w:sz w:val="22"/>
              </w:rPr>
              <w:t>115%</w:t>
            </w:r>
            <w:r w:rsidR="008B537F">
              <w:rPr>
                <w:sz w:val="22"/>
              </w:rPr>
              <w:t>/120%</w:t>
            </w:r>
          </w:p>
        </w:tc>
        <w:tc>
          <w:tcPr>
            <w:tcW w:w="990" w:type="dxa"/>
            <w:tcBorders>
              <w:top w:val="single" w:sz="4" w:space="0" w:color="auto"/>
            </w:tcBorders>
          </w:tcPr>
          <w:p w14:paraId="7B5EED49" w14:textId="55B727E3" w:rsidR="00212AEB" w:rsidRPr="00435C2F" w:rsidRDefault="00212AEB" w:rsidP="004B0D67">
            <w:pPr>
              <w:keepNext/>
              <w:spacing w:after="0"/>
              <w:rPr>
                <w:sz w:val="22"/>
              </w:rPr>
            </w:pPr>
            <w:r w:rsidRPr="00435C2F">
              <w:rPr>
                <w:sz w:val="22"/>
              </w:rPr>
              <w:t>120%</w:t>
            </w:r>
          </w:p>
        </w:tc>
        <w:tc>
          <w:tcPr>
            <w:tcW w:w="1076" w:type="dxa"/>
            <w:tcBorders>
              <w:top w:val="single" w:sz="4" w:space="0" w:color="auto"/>
            </w:tcBorders>
          </w:tcPr>
          <w:p w14:paraId="03C21364" w14:textId="6E821B6F" w:rsidR="00212AEB" w:rsidRPr="00435C2F" w:rsidRDefault="00212AEB" w:rsidP="004B0D67">
            <w:pPr>
              <w:keepNext/>
              <w:spacing w:after="0"/>
              <w:rPr>
                <w:sz w:val="22"/>
              </w:rPr>
            </w:pPr>
            <w:r w:rsidRPr="00435C2F">
              <w:rPr>
                <w:sz w:val="22"/>
              </w:rPr>
              <w:t>122%</w:t>
            </w:r>
          </w:p>
        </w:tc>
        <w:tc>
          <w:tcPr>
            <w:tcW w:w="1075" w:type="dxa"/>
            <w:tcBorders>
              <w:top w:val="single" w:sz="4" w:space="0" w:color="auto"/>
            </w:tcBorders>
          </w:tcPr>
          <w:p w14:paraId="10F54776" w14:textId="106367B7" w:rsidR="00212AEB" w:rsidRPr="00435C2F" w:rsidRDefault="00212AEB" w:rsidP="004B0D67">
            <w:pPr>
              <w:keepNext/>
              <w:spacing w:after="0"/>
              <w:rPr>
                <w:sz w:val="22"/>
              </w:rPr>
            </w:pPr>
            <w:r w:rsidRPr="00435C2F">
              <w:rPr>
                <w:sz w:val="22"/>
              </w:rPr>
              <w:t>125%</w:t>
            </w:r>
          </w:p>
        </w:tc>
        <w:tc>
          <w:tcPr>
            <w:tcW w:w="1075" w:type="dxa"/>
            <w:tcBorders>
              <w:top w:val="single" w:sz="4" w:space="0" w:color="auto"/>
            </w:tcBorders>
          </w:tcPr>
          <w:p w14:paraId="62ABA959" w14:textId="508E8AA8" w:rsidR="00212AEB" w:rsidRPr="00435C2F" w:rsidRDefault="00212AEB" w:rsidP="004B0D67">
            <w:pPr>
              <w:keepNext/>
              <w:spacing w:after="0"/>
              <w:rPr>
                <w:sz w:val="22"/>
              </w:rPr>
            </w:pPr>
            <w:r w:rsidRPr="00435C2F">
              <w:rPr>
                <w:sz w:val="22"/>
              </w:rPr>
              <w:t>130%</w:t>
            </w:r>
          </w:p>
        </w:tc>
        <w:tc>
          <w:tcPr>
            <w:tcW w:w="1075" w:type="dxa"/>
            <w:tcBorders>
              <w:top w:val="single" w:sz="4" w:space="0" w:color="auto"/>
              <w:right w:val="single" w:sz="4" w:space="0" w:color="auto"/>
            </w:tcBorders>
          </w:tcPr>
          <w:p w14:paraId="476E9F32" w14:textId="076A2B32" w:rsidR="00212AEB" w:rsidRPr="00435C2F" w:rsidRDefault="00212AEB" w:rsidP="004B0D67">
            <w:pPr>
              <w:keepNext/>
              <w:spacing w:after="0"/>
              <w:rPr>
                <w:sz w:val="22"/>
              </w:rPr>
            </w:pPr>
            <w:r w:rsidRPr="00435C2F">
              <w:rPr>
                <w:sz w:val="22"/>
              </w:rPr>
              <w:t>135%</w:t>
            </w:r>
          </w:p>
        </w:tc>
      </w:tr>
      <w:tr w:rsidR="001B0EA5" w:rsidRPr="00435C2F" w14:paraId="501BA83B" w14:textId="77777777" w:rsidTr="004B0D67">
        <w:tc>
          <w:tcPr>
            <w:tcW w:w="1811" w:type="dxa"/>
            <w:tcBorders>
              <w:top w:val="single" w:sz="4" w:space="0" w:color="auto"/>
              <w:left w:val="single" w:sz="4" w:space="0" w:color="auto"/>
            </w:tcBorders>
          </w:tcPr>
          <w:p w14:paraId="08738630" w14:textId="78A66864" w:rsidR="001B0EA5" w:rsidRPr="00435C2F" w:rsidRDefault="001B0EA5" w:rsidP="004B0D67">
            <w:pPr>
              <w:keepNext/>
              <w:spacing w:after="0"/>
              <w:rPr>
                <w:sz w:val="22"/>
              </w:rPr>
            </w:pPr>
            <w:r>
              <w:rPr>
                <w:sz w:val="22"/>
              </w:rPr>
              <w:t>CHJ</w:t>
            </w:r>
          </w:p>
        </w:tc>
        <w:tc>
          <w:tcPr>
            <w:tcW w:w="2361" w:type="dxa"/>
            <w:tcBorders>
              <w:top w:val="single" w:sz="4" w:space="0" w:color="auto"/>
            </w:tcBorders>
          </w:tcPr>
          <w:p w14:paraId="52EF86D9" w14:textId="462F6917" w:rsidR="001B0EA5" w:rsidRPr="00435C2F" w:rsidRDefault="001B0EA5" w:rsidP="004B0D67">
            <w:pPr>
              <w:keepNext/>
              <w:spacing w:after="0"/>
              <w:rPr>
                <w:sz w:val="22"/>
              </w:rPr>
            </w:pPr>
            <w:r w:rsidRPr="00435C2F">
              <w:rPr>
                <w:sz w:val="22"/>
              </w:rPr>
              <w:t>110%</w:t>
            </w:r>
            <w:r>
              <w:rPr>
                <w:sz w:val="22"/>
              </w:rPr>
              <w:t xml:space="preserve"> or degassing cap</w:t>
            </w:r>
          </w:p>
        </w:tc>
        <w:tc>
          <w:tcPr>
            <w:tcW w:w="990" w:type="dxa"/>
            <w:tcBorders>
              <w:top w:val="single" w:sz="4" w:space="0" w:color="auto"/>
            </w:tcBorders>
          </w:tcPr>
          <w:p w14:paraId="4A152180" w14:textId="4727B431" w:rsidR="001B0EA5" w:rsidRPr="00435C2F" w:rsidRDefault="001B0EA5" w:rsidP="004B0D67">
            <w:pPr>
              <w:keepNext/>
              <w:spacing w:after="0"/>
              <w:rPr>
                <w:sz w:val="22"/>
              </w:rPr>
            </w:pPr>
            <w:r w:rsidRPr="00435C2F">
              <w:rPr>
                <w:sz w:val="22"/>
              </w:rPr>
              <w:t>120%</w:t>
            </w:r>
          </w:p>
        </w:tc>
        <w:tc>
          <w:tcPr>
            <w:tcW w:w="1076" w:type="dxa"/>
            <w:tcBorders>
              <w:top w:val="single" w:sz="4" w:space="0" w:color="auto"/>
            </w:tcBorders>
          </w:tcPr>
          <w:p w14:paraId="27B31035" w14:textId="59389111" w:rsidR="001B0EA5" w:rsidRPr="00435C2F" w:rsidRDefault="001B0EA5" w:rsidP="004B0D67">
            <w:pPr>
              <w:keepNext/>
              <w:spacing w:after="0"/>
              <w:rPr>
                <w:sz w:val="22"/>
              </w:rPr>
            </w:pPr>
            <w:r w:rsidRPr="00435C2F">
              <w:rPr>
                <w:sz w:val="22"/>
              </w:rPr>
              <w:t>122%</w:t>
            </w:r>
          </w:p>
        </w:tc>
        <w:tc>
          <w:tcPr>
            <w:tcW w:w="1075" w:type="dxa"/>
            <w:tcBorders>
              <w:top w:val="single" w:sz="4" w:space="0" w:color="auto"/>
            </w:tcBorders>
          </w:tcPr>
          <w:p w14:paraId="1B817987" w14:textId="6A222E23" w:rsidR="001B0EA5" w:rsidRPr="00435C2F" w:rsidRDefault="001B0EA5" w:rsidP="004B0D67">
            <w:pPr>
              <w:keepNext/>
              <w:spacing w:after="0"/>
              <w:rPr>
                <w:sz w:val="22"/>
              </w:rPr>
            </w:pPr>
            <w:r w:rsidRPr="00435C2F">
              <w:rPr>
                <w:sz w:val="22"/>
              </w:rPr>
              <w:t>125%</w:t>
            </w:r>
          </w:p>
        </w:tc>
        <w:tc>
          <w:tcPr>
            <w:tcW w:w="1075" w:type="dxa"/>
            <w:tcBorders>
              <w:top w:val="single" w:sz="4" w:space="0" w:color="auto"/>
            </w:tcBorders>
          </w:tcPr>
          <w:p w14:paraId="511FF354" w14:textId="3C50E34F" w:rsidR="001B0EA5" w:rsidRPr="00435C2F" w:rsidRDefault="001B0EA5" w:rsidP="004B0D67">
            <w:pPr>
              <w:keepNext/>
              <w:spacing w:after="0"/>
              <w:rPr>
                <w:sz w:val="22"/>
              </w:rPr>
            </w:pPr>
            <w:r w:rsidRPr="00435C2F">
              <w:rPr>
                <w:sz w:val="22"/>
              </w:rPr>
              <w:t>130%</w:t>
            </w:r>
          </w:p>
        </w:tc>
        <w:tc>
          <w:tcPr>
            <w:tcW w:w="1075" w:type="dxa"/>
            <w:tcBorders>
              <w:top w:val="single" w:sz="4" w:space="0" w:color="auto"/>
              <w:right w:val="single" w:sz="4" w:space="0" w:color="auto"/>
            </w:tcBorders>
          </w:tcPr>
          <w:p w14:paraId="51C6BBB3" w14:textId="062D2B70" w:rsidR="001B0EA5" w:rsidRPr="00435C2F" w:rsidRDefault="001B0EA5" w:rsidP="004B0D67">
            <w:pPr>
              <w:keepNext/>
              <w:spacing w:after="0"/>
              <w:rPr>
                <w:sz w:val="22"/>
              </w:rPr>
            </w:pPr>
            <w:r w:rsidRPr="00435C2F">
              <w:rPr>
                <w:sz w:val="22"/>
              </w:rPr>
              <w:t>130%</w:t>
            </w:r>
          </w:p>
        </w:tc>
      </w:tr>
      <w:tr w:rsidR="001B0EA5" w:rsidRPr="00435C2F" w14:paraId="7FD6636C" w14:textId="77777777" w:rsidTr="004B0D67">
        <w:tc>
          <w:tcPr>
            <w:tcW w:w="1811" w:type="dxa"/>
            <w:tcBorders>
              <w:left w:val="single" w:sz="4" w:space="0" w:color="auto"/>
              <w:bottom w:val="single" w:sz="4" w:space="0" w:color="auto"/>
            </w:tcBorders>
          </w:tcPr>
          <w:p w14:paraId="42094BC1" w14:textId="275764FD" w:rsidR="001B0EA5" w:rsidRPr="00435C2F" w:rsidRDefault="001B0EA5" w:rsidP="004B0D67">
            <w:pPr>
              <w:keepNext/>
              <w:spacing w:after="0"/>
              <w:rPr>
                <w:sz w:val="22"/>
              </w:rPr>
            </w:pPr>
            <w:r w:rsidRPr="00435C2F">
              <w:rPr>
                <w:sz w:val="22"/>
              </w:rPr>
              <w:t>GCL, DWR.</w:t>
            </w:r>
          </w:p>
        </w:tc>
        <w:tc>
          <w:tcPr>
            <w:tcW w:w="2361" w:type="dxa"/>
            <w:tcBorders>
              <w:bottom w:val="single" w:sz="4" w:space="0" w:color="auto"/>
            </w:tcBorders>
          </w:tcPr>
          <w:p w14:paraId="79AC0C97" w14:textId="0DE82415" w:rsidR="001B0EA5" w:rsidRPr="00435C2F" w:rsidRDefault="001B0EA5" w:rsidP="004B0D67">
            <w:pPr>
              <w:keepNext/>
              <w:spacing w:after="0"/>
              <w:rPr>
                <w:sz w:val="22"/>
              </w:rPr>
            </w:pPr>
            <w:r w:rsidRPr="00435C2F">
              <w:rPr>
                <w:sz w:val="22"/>
              </w:rPr>
              <w:t>110%</w:t>
            </w:r>
            <w:r>
              <w:rPr>
                <w:sz w:val="22"/>
              </w:rPr>
              <w:t xml:space="preserve"> </w:t>
            </w:r>
          </w:p>
        </w:tc>
        <w:tc>
          <w:tcPr>
            <w:tcW w:w="990" w:type="dxa"/>
            <w:tcBorders>
              <w:bottom w:val="single" w:sz="4" w:space="0" w:color="auto"/>
            </w:tcBorders>
          </w:tcPr>
          <w:p w14:paraId="586C091F" w14:textId="49F002E9" w:rsidR="001B0EA5" w:rsidRPr="00435C2F" w:rsidRDefault="001B0EA5" w:rsidP="004B0D67">
            <w:pPr>
              <w:keepNext/>
              <w:spacing w:after="0"/>
              <w:rPr>
                <w:sz w:val="22"/>
              </w:rPr>
            </w:pPr>
            <w:r w:rsidRPr="00435C2F">
              <w:rPr>
                <w:sz w:val="22"/>
              </w:rPr>
              <w:t>120%</w:t>
            </w:r>
          </w:p>
        </w:tc>
        <w:tc>
          <w:tcPr>
            <w:tcW w:w="1076" w:type="dxa"/>
            <w:tcBorders>
              <w:bottom w:val="single" w:sz="4" w:space="0" w:color="auto"/>
            </w:tcBorders>
          </w:tcPr>
          <w:p w14:paraId="43A6C54D" w14:textId="6B0D922A" w:rsidR="001B0EA5" w:rsidRPr="00435C2F" w:rsidRDefault="001B0EA5" w:rsidP="004B0D67">
            <w:pPr>
              <w:keepNext/>
              <w:spacing w:after="0"/>
              <w:rPr>
                <w:sz w:val="22"/>
              </w:rPr>
            </w:pPr>
            <w:r w:rsidRPr="00435C2F">
              <w:rPr>
                <w:sz w:val="22"/>
              </w:rPr>
              <w:t>122%</w:t>
            </w:r>
          </w:p>
        </w:tc>
        <w:tc>
          <w:tcPr>
            <w:tcW w:w="1075" w:type="dxa"/>
            <w:tcBorders>
              <w:bottom w:val="single" w:sz="4" w:space="0" w:color="auto"/>
            </w:tcBorders>
          </w:tcPr>
          <w:p w14:paraId="58C60296" w14:textId="02AD32C6" w:rsidR="001B0EA5" w:rsidRPr="00435C2F" w:rsidRDefault="001B0EA5" w:rsidP="004B0D67">
            <w:pPr>
              <w:keepNext/>
              <w:spacing w:after="0"/>
              <w:rPr>
                <w:sz w:val="22"/>
              </w:rPr>
            </w:pPr>
            <w:r w:rsidRPr="00435C2F">
              <w:rPr>
                <w:sz w:val="22"/>
              </w:rPr>
              <w:t>125%</w:t>
            </w:r>
          </w:p>
        </w:tc>
        <w:tc>
          <w:tcPr>
            <w:tcW w:w="1075" w:type="dxa"/>
            <w:tcBorders>
              <w:bottom w:val="single" w:sz="4" w:space="0" w:color="auto"/>
            </w:tcBorders>
          </w:tcPr>
          <w:p w14:paraId="23EFD764" w14:textId="49817D6B" w:rsidR="001B0EA5" w:rsidRPr="00435C2F" w:rsidRDefault="001B0EA5" w:rsidP="004B0D67">
            <w:pPr>
              <w:keepNext/>
              <w:spacing w:after="0"/>
              <w:rPr>
                <w:sz w:val="22"/>
              </w:rPr>
            </w:pPr>
            <w:r w:rsidRPr="00435C2F">
              <w:rPr>
                <w:sz w:val="22"/>
              </w:rPr>
              <w:t>130%</w:t>
            </w:r>
          </w:p>
        </w:tc>
        <w:tc>
          <w:tcPr>
            <w:tcW w:w="1075" w:type="dxa"/>
            <w:tcBorders>
              <w:bottom w:val="single" w:sz="4" w:space="0" w:color="auto"/>
              <w:right w:val="single" w:sz="4" w:space="0" w:color="auto"/>
            </w:tcBorders>
          </w:tcPr>
          <w:p w14:paraId="6FEBE90C" w14:textId="6E8CA055" w:rsidR="001B0EA5" w:rsidRPr="00435C2F" w:rsidRDefault="001B0EA5" w:rsidP="004B0D67">
            <w:pPr>
              <w:keepNext/>
              <w:spacing w:after="0"/>
              <w:rPr>
                <w:sz w:val="22"/>
              </w:rPr>
            </w:pPr>
            <w:r w:rsidRPr="00435C2F">
              <w:rPr>
                <w:sz w:val="22"/>
              </w:rPr>
              <w:t>130%</w:t>
            </w:r>
          </w:p>
        </w:tc>
      </w:tr>
    </w:tbl>
    <w:p w14:paraId="1BF0CC48" w14:textId="77777777" w:rsidR="00624F33" w:rsidRDefault="00624F33" w:rsidP="002F4AC4">
      <w:pPr>
        <w:tabs>
          <w:tab w:val="left" w:pos="360"/>
        </w:tabs>
        <w:autoSpaceDE w:val="0"/>
        <w:autoSpaceDN w:val="0"/>
        <w:adjustRightInd w:val="0"/>
        <w:rPr>
          <w:color w:val="000000"/>
          <w:sz w:val="20"/>
          <w:szCs w:val="20"/>
        </w:rPr>
      </w:pPr>
      <w:bookmarkStart w:id="54" w:name="_Hlk69220111"/>
    </w:p>
    <w:p w14:paraId="7C036392" w14:textId="5A88A648" w:rsidR="00E97448" w:rsidRPr="00E97448" w:rsidRDefault="00555BC2" w:rsidP="00E97448">
      <w:pPr>
        <w:tabs>
          <w:tab w:val="left" w:pos="360"/>
        </w:tabs>
        <w:autoSpaceDE w:val="0"/>
        <w:autoSpaceDN w:val="0"/>
        <w:adjustRightInd w:val="0"/>
        <w:rPr>
          <w:bCs/>
          <w:iCs/>
        </w:rPr>
      </w:pPr>
      <w:r>
        <w:rPr>
          <w:rFonts w:eastAsiaTheme="minorHAnsi"/>
        </w:rPr>
        <w:t xml:space="preserve">If the </w:t>
      </w:r>
      <w:proofErr w:type="spellStart"/>
      <w:r w:rsidR="00901C07">
        <w:rPr>
          <w:rFonts w:eastAsiaTheme="minorHAnsi"/>
        </w:rPr>
        <w:t>TDG</w:t>
      </w:r>
      <w:proofErr w:type="spellEnd"/>
      <w:r w:rsidR="00901C07">
        <w:rPr>
          <w:rFonts w:eastAsiaTheme="minorHAnsi"/>
        </w:rPr>
        <w:t xml:space="preserve"> criteria </w:t>
      </w:r>
      <w:r>
        <w:rPr>
          <w:rFonts w:eastAsiaTheme="minorHAnsi"/>
        </w:rPr>
        <w:t>has been reduced to 115%</w:t>
      </w:r>
      <w:r w:rsidR="008B537F">
        <w:rPr>
          <w:rFonts w:eastAsiaTheme="minorHAnsi"/>
        </w:rPr>
        <w:t>/120%</w:t>
      </w:r>
      <w:r>
        <w:rPr>
          <w:rFonts w:eastAsiaTheme="minorHAnsi"/>
        </w:rPr>
        <w:t xml:space="preserve"> TDG, then </w:t>
      </w:r>
      <w:r w:rsidR="00901C07">
        <w:rPr>
          <w:rFonts w:eastAsiaTheme="minorHAnsi"/>
        </w:rPr>
        <w:t xml:space="preserve">further GBT monitoring must demonstrate the incidence of gas bubble trauma is below action criteria to reinstate </w:t>
      </w:r>
      <w:r w:rsidR="009B7EB0" w:rsidRPr="00F81F70">
        <w:rPr>
          <w:rFonts w:eastAsiaTheme="minorHAnsi"/>
        </w:rPr>
        <w:t>125</w:t>
      </w:r>
      <w:r w:rsidR="00644AD5">
        <w:rPr>
          <w:rFonts w:eastAsiaTheme="minorHAnsi"/>
        </w:rPr>
        <w:t>%</w:t>
      </w:r>
      <w:r w:rsidR="009B7EB0" w:rsidRPr="00F81F70">
        <w:rPr>
          <w:rFonts w:eastAsiaTheme="minorHAnsi"/>
        </w:rPr>
        <w:t xml:space="preserve"> </w:t>
      </w:r>
      <w:proofErr w:type="spellStart"/>
      <w:r w:rsidR="009B7EB0" w:rsidRPr="00F81F70">
        <w:rPr>
          <w:rFonts w:eastAsiaTheme="minorHAnsi"/>
        </w:rPr>
        <w:t>TDG</w:t>
      </w:r>
      <w:proofErr w:type="spellEnd"/>
      <w:r w:rsidR="009B7EB0" w:rsidRPr="00F81F70">
        <w:rPr>
          <w:rFonts w:eastAsiaTheme="minorHAnsi"/>
        </w:rPr>
        <w:t xml:space="preserve"> spring spill</w:t>
      </w:r>
      <w:r w:rsidR="00901C07">
        <w:rPr>
          <w:rFonts w:eastAsiaTheme="minorHAnsi"/>
        </w:rPr>
        <w:t xml:space="preserve">.  </w:t>
      </w:r>
      <w:r w:rsidR="00180B18">
        <w:rPr>
          <w:rFonts w:eastAsiaTheme="minorHAnsi"/>
        </w:rPr>
        <w:t xml:space="preserve">Spill rates based on the 115%/120% </w:t>
      </w:r>
      <w:proofErr w:type="spellStart"/>
      <w:r w:rsidR="00180B18">
        <w:rPr>
          <w:rFonts w:eastAsiaTheme="minorHAnsi"/>
        </w:rPr>
        <w:t>TDG</w:t>
      </w:r>
      <w:proofErr w:type="spellEnd"/>
      <w:r w:rsidR="00180B18">
        <w:rPr>
          <w:rFonts w:eastAsiaTheme="minorHAnsi"/>
        </w:rPr>
        <w:t xml:space="preserve"> criteria will apply for a minimum of 7 days.  </w:t>
      </w:r>
      <w:bookmarkEnd w:id="54"/>
    </w:p>
    <w:sectPr w:rsidR="00E97448" w:rsidRPr="00E97448" w:rsidSect="009650A4">
      <w:headerReference w:type="default" r:id="rId10"/>
      <w:footerReference w:type="even" r:id="rId11"/>
      <w:footerReference w:type="default" r:id="rId12"/>
      <w:type w:val="continuous"/>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45016" w14:textId="77777777" w:rsidR="00EA4F14" w:rsidRDefault="00EA4F14">
      <w:r>
        <w:separator/>
      </w:r>
    </w:p>
  </w:endnote>
  <w:endnote w:type="continuationSeparator" w:id="0">
    <w:p w14:paraId="6E392DA4" w14:textId="77777777" w:rsidR="00EA4F14" w:rsidRDefault="00EA4F14">
      <w:r>
        <w:continuationSeparator/>
      </w:r>
    </w:p>
  </w:endnote>
  <w:endnote w:type="continuationNotice" w:id="1">
    <w:p w14:paraId="5D0325F5" w14:textId="77777777" w:rsidR="00EA4F14" w:rsidRDefault="00EA4F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BAFE" w14:textId="77777777" w:rsidR="00547E44" w:rsidRDefault="00547E44" w:rsidP="000C5A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8736A6E" w14:textId="77777777" w:rsidR="00547E44" w:rsidRDefault="00547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CA72" w14:textId="77777777" w:rsidR="00547E44" w:rsidRDefault="00547E44" w:rsidP="00E8325E">
    <w:pPr>
      <w:pStyle w:val="Footer"/>
      <w:framePr w:wrap="around" w:vAnchor="text" w:hAnchor="page" w:x="6301" w:y="11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46F26050" w14:textId="77777777" w:rsidR="00547E44" w:rsidRDefault="00547E44" w:rsidP="003A7ECC">
    <w:pPr>
      <w:pStyle w:val="Footer"/>
      <w:tabs>
        <w:tab w:val="clear" w:pos="4320"/>
        <w:tab w:val="clear" w:pos="86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9A7CC" w14:textId="77777777" w:rsidR="00EA4F14" w:rsidRDefault="00EA4F14">
      <w:r>
        <w:separator/>
      </w:r>
    </w:p>
  </w:footnote>
  <w:footnote w:type="continuationSeparator" w:id="0">
    <w:p w14:paraId="196959F8" w14:textId="77777777" w:rsidR="00EA4F14" w:rsidRDefault="00EA4F14">
      <w:r>
        <w:continuationSeparator/>
      </w:r>
    </w:p>
  </w:footnote>
  <w:footnote w:type="continuationNotice" w:id="1">
    <w:p w14:paraId="07905926" w14:textId="77777777" w:rsidR="00EA4F14" w:rsidRDefault="00EA4F14">
      <w:pPr>
        <w:spacing w:after="0"/>
      </w:pPr>
    </w:p>
  </w:footnote>
  <w:footnote w:id="2">
    <w:p w14:paraId="23E192A1" w14:textId="49D02E49" w:rsidR="00547E44" w:rsidRDefault="00547E44">
      <w:pPr>
        <w:pStyle w:val="FootnoteText"/>
      </w:pPr>
      <w:r>
        <w:rPr>
          <w:rStyle w:val="FootnoteReference"/>
        </w:rPr>
        <w:footnoteRef/>
      </w:r>
      <w:r>
        <w:t xml:space="preserve"> </w:t>
      </w:r>
      <w:r w:rsidRPr="00514210">
        <w:t>The Fish Passage Plan may be found at the following link:</w:t>
      </w:r>
      <w:r>
        <w:t xml:space="preserve"> </w:t>
      </w:r>
      <w:r w:rsidRPr="00A31313">
        <w:t>http://pweb.crohms.org/tmt/documents/fpp/</w:t>
      </w:r>
    </w:p>
  </w:footnote>
  <w:footnote w:id="3">
    <w:p w14:paraId="17C66F23" w14:textId="248CC4D9" w:rsidR="00547E44" w:rsidRPr="00527B6E" w:rsidRDefault="00547E44" w:rsidP="001855B0">
      <w:pPr>
        <w:pStyle w:val="FootnoteText"/>
      </w:pPr>
      <w:r w:rsidRPr="001A4529">
        <w:rPr>
          <w:rStyle w:val="FootnoteReference"/>
        </w:rPr>
        <w:footnoteRef/>
      </w:r>
      <w:r w:rsidRPr="001A4529">
        <w:t xml:space="preserve"> </w:t>
      </w:r>
      <w:r w:rsidRPr="00527B6E">
        <w:t>WASH. ADMIN. CODE §</w:t>
      </w:r>
      <w:r>
        <w:t xml:space="preserve"> </w:t>
      </w:r>
      <w:r w:rsidRPr="00527B6E">
        <w:t>173-201A-200(l)(f) provides the maximum TDG criteria for each of the aquatic life use categories and displays Table 200 (I)(f) that states: “Total dissolved gas shall not exceed 110 percent of saturation at any point of sample collection.” The code also addresses exceptions and adjustments, including a provision allowing for an adjustment of the TDG criteria to aid fish passage over hydroelectric dams.</w:t>
      </w:r>
    </w:p>
  </w:footnote>
  <w:footnote w:id="4">
    <w:p w14:paraId="32A23DA0" w14:textId="77777777" w:rsidR="00547E44" w:rsidRPr="00527B6E" w:rsidRDefault="00547E44" w:rsidP="001855B0">
      <w:pPr>
        <w:pStyle w:val="FootnoteText"/>
        <w:rPr>
          <w:color w:val="0000FF"/>
          <w:u w:val="single"/>
        </w:rPr>
      </w:pPr>
      <w:r w:rsidRPr="00527B6E">
        <w:rPr>
          <w:rStyle w:val="FootnoteReference"/>
        </w:rPr>
        <w:footnoteRef/>
      </w:r>
      <w:r w:rsidRPr="00527B6E">
        <w:t xml:space="preserve"> OR. ADMIN. R. 340-041-0031 provides in part: “the concentration of TDG relative to atmospheric pressure at the point of sample collection may not exceed 110 percent of saturation.” OR. ADMIN. R. 340-041-104(3) identifies findings the Environmental Quality Commission must make for the purpose of allowing increased spill for salmon migration.</w:t>
      </w:r>
      <w:r w:rsidRPr="00527B6E">
        <w:rPr>
          <w:i/>
        </w:rPr>
        <w:t xml:space="preserve"> </w:t>
      </w:r>
      <w:r>
        <w:rPr>
          <w:i/>
        </w:rPr>
        <w:t xml:space="preserve"> </w:t>
      </w:r>
      <w:r w:rsidRPr="00527B6E">
        <w:rPr>
          <w:i/>
        </w:rPr>
        <w:t xml:space="preserve">See </w:t>
      </w:r>
      <w:r w:rsidRPr="00527B6E">
        <w:rPr>
          <w:color w:val="0000FF"/>
          <w:u w:val="single"/>
        </w:rPr>
        <w:t>https://www.oregon.gov/deq/wq/Documents/columbiaUSACEtmdlorder.pdf</w:t>
      </w:r>
    </w:p>
    <w:p w14:paraId="1522E78A" w14:textId="77777777" w:rsidR="00547E44" w:rsidRDefault="00547E44" w:rsidP="001855B0">
      <w:pPr>
        <w:pStyle w:val="FootnoteText"/>
      </w:pPr>
    </w:p>
  </w:footnote>
  <w:footnote w:id="5">
    <w:p w14:paraId="408823AB" w14:textId="77777777" w:rsidR="00547E44" w:rsidRDefault="00547E44" w:rsidP="002048B1">
      <w:pPr>
        <w:pStyle w:val="FootnoteText"/>
      </w:pPr>
      <w:r>
        <w:rPr>
          <w:rStyle w:val="FootnoteReference"/>
        </w:rPr>
        <w:footnoteRef/>
      </w:r>
      <w:r>
        <w:t xml:space="preserve"> The Corps directs operations of storage projects in the Columbia Basin to manage flood risk. Storage reservoir pools are drafted in the winter and early spring to provide space to capture part of the spring runoff, reducing peak flows in the river. This flood risk management operation may require spill from storage reservoirs, which may result in elevated levels of TDG in the river system. The Corps and other action agencies work to manage system flood risk operations in a manner that reduces the need to spill at levels that exceed TDG water quality standards; however, there are conditions in which fulfilling the Corps’ flood risk management authorities necessitates drafting storage reservoirs.</w:t>
      </w:r>
    </w:p>
  </w:footnote>
  <w:footnote w:id="6">
    <w:p w14:paraId="41CD24F9" w14:textId="77777777" w:rsidR="00547E44" w:rsidRDefault="00547E44">
      <w:pPr>
        <w:pStyle w:val="FootnoteText"/>
      </w:pPr>
      <w:r>
        <w:rPr>
          <w:rStyle w:val="FootnoteReference"/>
        </w:rPr>
        <w:footnoteRef/>
      </w:r>
      <w:r>
        <w:t xml:space="preserve"> This type of input is often provided through a regional forum, such as TMT.</w:t>
      </w:r>
    </w:p>
  </w:footnote>
  <w:footnote w:id="7">
    <w:p w14:paraId="761033BA" w14:textId="69F1B0DA" w:rsidR="00547E44" w:rsidRDefault="00547E44">
      <w:pPr>
        <w:pStyle w:val="FootnoteText"/>
      </w:pPr>
      <w:r>
        <w:rPr>
          <w:rStyle w:val="FootnoteReference"/>
        </w:rPr>
        <w:footnoteRef/>
      </w:r>
      <w:r>
        <w:t xml:space="preserve"> The Corps coordinates with the State of Washington on planned fish passage spill at the lower Snake and lower Columbia River projects; and with the State of Oregon on planned fish passage spill at the lower Columbia River projects.</w:t>
      </w:r>
    </w:p>
  </w:footnote>
  <w:footnote w:id="8">
    <w:p w14:paraId="669D6D84" w14:textId="77777777" w:rsidR="00547E44" w:rsidRDefault="00547E44">
      <w:pPr>
        <w:pStyle w:val="FootnoteText"/>
      </w:pPr>
      <w:r>
        <w:rPr>
          <w:rStyle w:val="FootnoteReference"/>
        </w:rPr>
        <w:footnoteRef/>
      </w:r>
      <w:r>
        <w:t xml:space="preserve"> </w:t>
      </w:r>
      <w:r w:rsidRPr="001812C2">
        <w:t xml:space="preserve">TDG Monitoring Plan can be found here: </w:t>
      </w:r>
      <w:hyperlink r:id="rId1" w:history="1">
        <w:r w:rsidRPr="00E20B17">
          <w:rPr>
            <w:rStyle w:val="Hyperlink"/>
          </w:rPr>
          <w:t>http://www.nwd.usace.army.mil/Missions/Water/Columbia/Water-Quality/</w:t>
        </w:r>
      </w:hyperlink>
      <w:r>
        <w:t xml:space="preserve"> </w:t>
      </w:r>
    </w:p>
  </w:footnote>
  <w:footnote w:id="9">
    <w:p w14:paraId="407F400A" w14:textId="77777777" w:rsidR="00547E44" w:rsidRPr="00AD62A8" w:rsidRDefault="00547E44" w:rsidP="0055691F">
      <w:pPr>
        <w:pStyle w:val="FootnoteText"/>
      </w:pPr>
      <w:r w:rsidRPr="00CC66F9">
        <w:rPr>
          <w:rStyle w:val="FootnoteReference"/>
        </w:rPr>
        <w:footnoteRef/>
      </w:r>
      <w:r w:rsidRPr="00CC66F9">
        <w:t xml:space="preserve"> </w:t>
      </w:r>
      <w:r w:rsidRPr="009A45FB">
        <w:t xml:space="preserve">Spill cap </w:t>
      </w:r>
      <w:r w:rsidRPr="007113D9">
        <w:t xml:space="preserve">is the </w:t>
      </w:r>
      <w:r>
        <w:t xml:space="preserve">maximum </w:t>
      </w:r>
      <w:r w:rsidRPr="009A45FB">
        <w:t xml:space="preserve">spill level </w:t>
      </w:r>
      <w:r w:rsidRPr="007113D9">
        <w:t xml:space="preserve">(flow through the spillway measured in kcfs) </w:t>
      </w:r>
      <w:r>
        <w:t>at each project that is estimated to meet, but not exceed, the gas cap in the tailrace</w:t>
      </w:r>
      <w:r w:rsidRPr="009A45FB">
        <w:t xml:space="preserve">. </w:t>
      </w:r>
      <w:r>
        <w:t>T</w:t>
      </w:r>
      <w:r w:rsidRPr="009A45FB">
        <w:t>he Corps manages “</w:t>
      </w:r>
      <w:r>
        <w:t>g</w:t>
      </w:r>
      <w:r w:rsidRPr="009A45FB">
        <w:t>as cap spill” by establishing spill caps for each project (which constitute the “target spill” levels for each project) and operates each project to achieve the target spill levels to the extent feasible</w:t>
      </w:r>
      <w:r w:rsidRPr="00066357">
        <w:t>.</w:t>
      </w:r>
    </w:p>
  </w:footnote>
  <w:footnote w:id="10">
    <w:p w14:paraId="6CC8865D" w14:textId="77777777" w:rsidR="00547E44" w:rsidRDefault="00547E44" w:rsidP="0055691F">
      <w:pPr>
        <w:pStyle w:val="FootnoteText"/>
      </w:pPr>
      <w:r w:rsidRPr="00AD62A8">
        <w:rPr>
          <w:rStyle w:val="FootnoteReference"/>
        </w:rPr>
        <w:footnoteRef/>
      </w:r>
      <w:r w:rsidRPr="00AD62A8">
        <w:t xml:space="preserve"> </w:t>
      </w:r>
      <w:r>
        <w:t>Water t</w:t>
      </w:r>
      <w:r w:rsidRPr="00AD62A8">
        <w:t xml:space="preserve">ravel time between </w:t>
      </w:r>
      <w:r>
        <w:t xml:space="preserve">John Day and The Dalles </w:t>
      </w:r>
      <w:r w:rsidRPr="00AD62A8">
        <w:t xml:space="preserve">projects </w:t>
      </w:r>
      <w:r>
        <w:t>is a consideration since The Dalles forebay is very influential on The Dalles tailwater TDG levels</w:t>
      </w:r>
      <w:r w:rsidRPr="00AD62A8">
        <w:t>.</w:t>
      </w:r>
    </w:p>
  </w:footnote>
  <w:footnote w:id="11">
    <w:p w14:paraId="63D7899B" w14:textId="781A8045" w:rsidR="00547E44" w:rsidRDefault="00547E44">
      <w:pPr>
        <w:pStyle w:val="FootnoteText"/>
      </w:pPr>
      <w:r>
        <w:rPr>
          <w:rStyle w:val="FootnoteReference"/>
        </w:rPr>
        <w:footnoteRef/>
      </w:r>
      <w:r>
        <w:t xml:space="preserve"> When the observed total river flows on the lower Snake and lower Columbia rivers reach a low level such that there is diminished likelihood of planned fish passage spill producing TDG above the State standards, RCC will conduct spill review and set daily spill caps for the weekend on the last working day of the week.  These conditions usually occur in late July and August.  Spill caps through the weekend will be set and recorded in the CWMS database. </w:t>
      </w:r>
    </w:p>
  </w:footnote>
  <w:footnote w:id="12">
    <w:p w14:paraId="5EC6E7D5" w14:textId="77777777" w:rsidR="00547E44" w:rsidRPr="004A55E3" w:rsidRDefault="00547E44" w:rsidP="0055691F">
      <w:pPr>
        <w:pStyle w:val="FootnoteText"/>
      </w:pPr>
      <w:r w:rsidRPr="004A55E3">
        <w:rPr>
          <w:rStyle w:val="FootnoteReference"/>
        </w:rPr>
        <w:footnoteRef/>
      </w:r>
      <w:r>
        <w:t xml:space="preserve"> Comprehensive spill review, which </w:t>
      </w:r>
      <w:r w:rsidRPr="004A55E3">
        <w:t>include</w:t>
      </w:r>
      <w:r>
        <w:t>s</w:t>
      </w:r>
      <w:r w:rsidRPr="004A55E3">
        <w:t xml:space="preserve"> SYSTDG model</w:t>
      </w:r>
      <w:r>
        <w:t>ing when appropriate,</w:t>
      </w:r>
      <w:r w:rsidRPr="004A55E3">
        <w:t xml:space="preserve"> will occur</w:t>
      </w:r>
      <w:r>
        <w:t xml:space="preserve"> during regular work week hours</w:t>
      </w:r>
      <w:r w:rsidRPr="004A55E3">
        <w:t xml:space="preserve">.  </w:t>
      </w:r>
      <w:r>
        <w:t xml:space="preserve">The Corps will continue the current spill review process for </w:t>
      </w:r>
      <w:r w:rsidRPr="004A55E3">
        <w:t>holidays and weekends</w:t>
      </w:r>
      <w:r>
        <w:t>, i.e.</w:t>
      </w:r>
      <w:r w:rsidRPr="004A55E3">
        <w:t>, a condens</w:t>
      </w:r>
      <w:r>
        <w:t xml:space="preserve">ed spill review process will be implemented </w:t>
      </w:r>
      <w:r w:rsidRPr="004A55E3">
        <w:t>consider</w:t>
      </w:r>
      <w:r>
        <w:t>ing</w:t>
      </w:r>
      <w:r w:rsidRPr="004A55E3">
        <w:t xml:space="preserve"> observed da</w:t>
      </w:r>
      <w:r>
        <w:t>ta and applied engineering judg</w:t>
      </w:r>
      <w:r w:rsidRPr="004A55E3">
        <w:t>ment.</w:t>
      </w:r>
      <w:r>
        <w:t xml:space="preserve"> SYSTDG model runs are not likely to occur for the condensed review.</w:t>
      </w:r>
    </w:p>
  </w:footnote>
  <w:footnote w:id="13">
    <w:p w14:paraId="36DF3E44" w14:textId="46FB218A" w:rsidR="00547E44" w:rsidRPr="000A325C" w:rsidRDefault="00547E44" w:rsidP="00DD0C87">
      <w:pPr>
        <w:pStyle w:val="FootnoteText"/>
      </w:pPr>
      <w:r>
        <w:rPr>
          <w:rStyle w:val="FootnoteReference"/>
        </w:rPr>
        <w:footnoteRef/>
      </w:r>
      <w:r>
        <w:t xml:space="preserve"> </w:t>
      </w:r>
      <w:r w:rsidRPr="000A325C">
        <w:t xml:space="preserve">Italicized </w:t>
      </w:r>
      <w:r>
        <w:t>text</w:t>
      </w:r>
      <w:r w:rsidRPr="000A325C">
        <w:t xml:space="preserve"> is direct quote</w:t>
      </w:r>
      <w:r>
        <w:t xml:space="preserve"> from Washington WQS (Chapter 173-201A Washington Administrative Code, revision, Dec. 30, 2019): </w:t>
      </w:r>
      <w:hyperlink r:id="rId2" w:history="1">
        <w:r w:rsidRPr="00715055">
          <w:rPr>
            <w:rStyle w:val="Hyperlink"/>
          </w:rPr>
          <w:t>https://ecology.wa.gov/Regulations-Permits/Laws-rules-rulemaking/Rulemaking/WAC173-201A-revisions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EB1C4" w14:textId="77777777" w:rsidR="00547E44" w:rsidRPr="00D267BA" w:rsidRDefault="00547E44" w:rsidP="00D267BA">
    <w:pPr>
      <w:pStyle w:val="Header"/>
      <w:tabs>
        <w:tab w:val="clear" w:pos="8640"/>
        <w:tab w:val="right" w:pos="9360"/>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6800"/>
    <w:multiLevelType w:val="hybridMultilevel"/>
    <w:tmpl w:val="B2C2391C"/>
    <w:lvl w:ilvl="0" w:tplc="2EC8FC6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795881"/>
    <w:multiLevelType w:val="hybridMultilevel"/>
    <w:tmpl w:val="4948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97A5F"/>
    <w:multiLevelType w:val="multilevel"/>
    <w:tmpl w:val="5D088684"/>
    <w:lvl w:ilvl="0">
      <w:start w:val="1"/>
      <w:numFmt w:val="decimal"/>
      <w:pStyle w:val="Heading1"/>
      <w:lvlText w:val="%1."/>
      <w:lvlJc w:val="left"/>
      <w:pPr>
        <w:tabs>
          <w:tab w:val="num" w:pos="720"/>
        </w:tabs>
        <w:ind w:left="432" w:hanging="432"/>
      </w:pPr>
      <w:rPr>
        <w:rFonts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2EC446FC"/>
    <w:multiLevelType w:val="hybridMultilevel"/>
    <w:tmpl w:val="3FD43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A3999"/>
    <w:multiLevelType w:val="hybridMultilevel"/>
    <w:tmpl w:val="8C2C0D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3310F1"/>
    <w:multiLevelType w:val="hybridMultilevel"/>
    <w:tmpl w:val="398C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DA344A"/>
    <w:multiLevelType w:val="hybridMultilevel"/>
    <w:tmpl w:val="92A43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EA2F4B"/>
    <w:multiLevelType w:val="multilevel"/>
    <w:tmpl w:val="FDB46C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27B719B"/>
    <w:multiLevelType w:val="hybridMultilevel"/>
    <w:tmpl w:val="1514EB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204140"/>
    <w:multiLevelType w:val="hybridMultilevel"/>
    <w:tmpl w:val="107CB6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8C345B"/>
    <w:multiLevelType w:val="hybridMultilevel"/>
    <w:tmpl w:val="0A42C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DD5ED7"/>
    <w:multiLevelType w:val="hybridMultilevel"/>
    <w:tmpl w:val="DA06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8538B6"/>
    <w:multiLevelType w:val="hybridMultilevel"/>
    <w:tmpl w:val="72606724"/>
    <w:lvl w:ilvl="0" w:tplc="89C23FC4">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100835"/>
    <w:multiLevelType w:val="hybridMultilevel"/>
    <w:tmpl w:val="283A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A400E5"/>
    <w:multiLevelType w:val="hybridMultilevel"/>
    <w:tmpl w:val="F1668D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806CAE"/>
    <w:multiLevelType w:val="hybridMultilevel"/>
    <w:tmpl w:val="470E74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544F21"/>
    <w:multiLevelType w:val="hybridMultilevel"/>
    <w:tmpl w:val="B110202A"/>
    <w:lvl w:ilvl="0" w:tplc="84C86B1C">
      <w:start w:val="22"/>
      <w:numFmt w:val="decimal"/>
      <w:lvlText w:val="%1."/>
      <w:lvlJc w:val="left"/>
      <w:pPr>
        <w:tabs>
          <w:tab w:val="num" w:pos="720"/>
        </w:tabs>
        <w:ind w:left="720" w:hanging="360"/>
      </w:pPr>
      <w:rPr>
        <w:rFonts w:cs="Times New Roman" w:hint="default"/>
      </w:rPr>
    </w:lvl>
    <w:lvl w:ilvl="1" w:tplc="51A2432C">
      <w:start w:val="2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2"/>
  </w:num>
  <w:num w:numId="3">
    <w:abstractNumId w:val="16"/>
  </w:num>
  <w:num w:numId="4">
    <w:abstractNumId w:val="9"/>
  </w:num>
  <w:num w:numId="5">
    <w:abstractNumId w:val="13"/>
  </w:num>
  <w:num w:numId="6">
    <w:abstractNumId w:val="12"/>
  </w:num>
  <w:num w:numId="7">
    <w:abstractNumId w:val="8"/>
  </w:num>
  <w:num w:numId="8">
    <w:abstractNumId w:val="6"/>
  </w:num>
  <w:num w:numId="9">
    <w:abstractNumId w:val="5"/>
  </w:num>
  <w:num w:numId="10">
    <w:abstractNumId w:val="14"/>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3"/>
  </w:num>
  <w:num w:numId="23">
    <w:abstractNumId w:val="15"/>
  </w:num>
  <w:num w:numId="24">
    <w:abstractNumId w:val="4"/>
  </w:num>
  <w:num w:numId="25">
    <w:abstractNumId w:val="0"/>
  </w:num>
  <w:num w:numId="26">
    <w:abstractNumId w:val="10"/>
  </w:num>
  <w:num w:numId="2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228"/>
    <w:rsid w:val="0000062A"/>
    <w:rsid w:val="000012CA"/>
    <w:rsid w:val="00001455"/>
    <w:rsid w:val="000040D2"/>
    <w:rsid w:val="00005727"/>
    <w:rsid w:val="00005DCA"/>
    <w:rsid w:val="00006419"/>
    <w:rsid w:val="00013729"/>
    <w:rsid w:val="00014517"/>
    <w:rsid w:val="00014E43"/>
    <w:rsid w:val="0001524F"/>
    <w:rsid w:val="00015EAE"/>
    <w:rsid w:val="000163D7"/>
    <w:rsid w:val="0001693D"/>
    <w:rsid w:val="0002217A"/>
    <w:rsid w:val="000235B0"/>
    <w:rsid w:val="0002368C"/>
    <w:rsid w:val="000243D5"/>
    <w:rsid w:val="0002450D"/>
    <w:rsid w:val="00027BF3"/>
    <w:rsid w:val="00030BBF"/>
    <w:rsid w:val="00031653"/>
    <w:rsid w:val="0003192F"/>
    <w:rsid w:val="0003230B"/>
    <w:rsid w:val="000334D5"/>
    <w:rsid w:val="000348D4"/>
    <w:rsid w:val="00035693"/>
    <w:rsid w:val="00035780"/>
    <w:rsid w:val="0004088A"/>
    <w:rsid w:val="00041669"/>
    <w:rsid w:val="00041BE9"/>
    <w:rsid w:val="00043110"/>
    <w:rsid w:val="000438AC"/>
    <w:rsid w:val="00051955"/>
    <w:rsid w:val="0005477D"/>
    <w:rsid w:val="00055650"/>
    <w:rsid w:val="00055E57"/>
    <w:rsid w:val="00056B81"/>
    <w:rsid w:val="0005730F"/>
    <w:rsid w:val="000613CD"/>
    <w:rsid w:val="000625CB"/>
    <w:rsid w:val="000630B8"/>
    <w:rsid w:val="000647FE"/>
    <w:rsid w:val="000649C4"/>
    <w:rsid w:val="00065071"/>
    <w:rsid w:val="000652ED"/>
    <w:rsid w:val="00067AC9"/>
    <w:rsid w:val="00073C76"/>
    <w:rsid w:val="00073D93"/>
    <w:rsid w:val="000754B3"/>
    <w:rsid w:val="00077C01"/>
    <w:rsid w:val="00077D3D"/>
    <w:rsid w:val="00082982"/>
    <w:rsid w:val="00083D82"/>
    <w:rsid w:val="0008485B"/>
    <w:rsid w:val="0009087A"/>
    <w:rsid w:val="00090F22"/>
    <w:rsid w:val="00091581"/>
    <w:rsid w:val="00092461"/>
    <w:rsid w:val="0009351E"/>
    <w:rsid w:val="00093745"/>
    <w:rsid w:val="00094BB1"/>
    <w:rsid w:val="00095076"/>
    <w:rsid w:val="00095D2E"/>
    <w:rsid w:val="000A0B77"/>
    <w:rsid w:val="000A0C25"/>
    <w:rsid w:val="000A0EC0"/>
    <w:rsid w:val="000A13B8"/>
    <w:rsid w:val="000A1660"/>
    <w:rsid w:val="000A2BE6"/>
    <w:rsid w:val="000A34EA"/>
    <w:rsid w:val="000A4C2C"/>
    <w:rsid w:val="000A5292"/>
    <w:rsid w:val="000A5588"/>
    <w:rsid w:val="000A577A"/>
    <w:rsid w:val="000B02DA"/>
    <w:rsid w:val="000B253B"/>
    <w:rsid w:val="000B2796"/>
    <w:rsid w:val="000B5CAE"/>
    <w:rsid w:val="000B60C3"/>
    <w:rsid w:val="000B7BD3"/>
    <w:rsid w:val="000C0A96"/>
    <w:rsid w:val="000C10A0"/>
    <w:rsid w:val="000C1925"/>
    <w:rsid w:val="000C2BC2"/>
    <w:rsid w:val="000C3055"/>
    <w:rsid w:val="000C3F4B"/>
    <w:rsid w:val="000C5A9E"/>
    <w:rsid w:val="000C7475"/>
    <w:rsid w:val="000C7F98"/>
    <w:rsid w:val="000D0348"/>
    <w:rsid w:val="000D0637"/>
    <w:rsid w:val="000D0AEC"/>
    <w:rsid w:val="000D1E18"/>
    <w:rsid w:val="000D3068"/>
    <w:rsid w:val="000D3D58"/>
    <w:rsid w:val="000D4F71"/>
    <w:rsid w:val="000D7688"/>
    <w:rsid w:val="000D776F"/>
    <w:rsid w:val="000D7CEC"/>
    <w:rsid w:val="000E08CE"/>
    <w:rsid w:val="000E154B"/>
    <w:rsid w:val="000E23F8"/>
    <w:rsid w:val="000E2FB8"/>
    <w:rsid w:val="000E41BF"/>
    <w:rsid w:val="000E5189"/>
    <w:rsid w:val="000E51F4"/>
    <w:rsid w:val="000E6CC1"/>
    <w:rsid w:val="000E7441"/>
    <w:rsid w:val="000F067F"/>
    <w:rsid w:val="000F0ACC"/>
    <w:rsid w:val="000F1AF9"/>
    <w:rsid w:val="000F1FE3"/>
    <w:rsid w:val="000F2FB9"/>
    <w:rsid w:val="000F5AB4"/>
    <w:rsid w:val="000F7EB6"/>
    <w:rsid w:val="001000C0"/>
    <w:rsid w:val="0010103B"/>
    <w:rsid w:val="001044DE"/>
    <w:rsid w:val="00104EF6"/>
    <w:rsid w:val="001053D7"/>
    <w:rsid w:val="0011219B"/>
    <w:rsid w:val="00112986"/>
    <w:rsid w:val="00113217"/>
    <w:rsid w:val="00114173"/>
    <w:rsid w:val="0012336D"/>
    <w:rsid w:val="00124A18"/>
    <w:rsid w:val="001276C9"/>
    <w:rsid w:val="001316D5"/>
    <w:rsid w:val="001342DF"/>
    <w:rsid w:val="001345D9"/>
    <w:rsid w:val="00134A03"/>
    <w:rsid w:val="00135605"/>
    <w:rsid w:val="00136536"/>
    <w:rsid w:val="001372E1"/>
    <w:rsid w:val="00141DC5"/>
    <w:rsid w:val="001426BD"/>
    <w:rsid w:val="001431B1"/>
    <w:rsid w:val="00144C12"/>
    <w:rsid w:val="00144E40"/>
    <w:rsid w:val="00146437"/>
    <w:rsid w:val="00147678"/>
    <w:rsid w:val="00147CA4"/>
    <w:rsid w:val="00147F97"/>
    <w:rsid w:val="00150D84"/>
    <w:rsid w:val="001537C5"/>
    <w:rsid w:val="00155984"/>
    <w:rsid w:val="001564CB"/>
    <w:rsid w:val="00156EF8"/>
    <w:rsid w:val="00156F8E"/>
    <w:rsid w:val="001616C7"/>
    <w:rsid w:val="00161F45"/>
    <w:rsid w:val="00163341"/>
    <w:rsid w:val="00163CCD"/>
    <w:rsid w:val="00164ACD"/>
    <w:rsid w:val="00164ED8"/>
    <w:rsid w:val="00165A2D"/>
    <w:rsid w:val="001660E5"/>
    <w:rsid w:val="00170812"/>
    <w:rsid w:val="00171A62"/>
    <w:rsid w:val="00175D52"/>
    <w:rsid w:val="001769F3"/>
    <w:rsid w:val="00180B18"/>
    <w:rsid w:val="001812C2"/>
    <w:rsid w:val="00181CF7"/>
    <w:rsid w:val="001820BE"/>
    <w:rsid w:val="00182D8E"/>
    <w:rsid w:val="00182E38"/>
    <w:rsid w:val="00184CCA"/>
    <w:rsid w:val="00184E0D"/>
    <w:rsid w:val="00185535"/>
    <w:rsid w:val="001855B0"/>
    <w:rsid w:val="001855F4"/>
    <w:rsid w:val="001857A6"/>
    <w:rsid w:val="00185CCC"/>
    <w:rsid w:val="00186BA8"/>
    <w:rsid w:val="00190010"/>
    <w:rsid w:val="00193BCD"/>
    <w:rsid w:val="00195804"/>
    <w:rsid w:val="00197A3B"/>
    <w:rsid w:val="00197B5A"/>
    <w:rsid w:val="001A1869"/>
    <w:rsid w:val="001A18A2"/>
    <w:rsid w:val="001A20AB"/>
    <w:rsid w:val="001A4ED1"/>
    <w:rsid w:val="001A5EE4"/>
    <w:rsid w:val="001B0131"/>
    <w:rsid w:val="001B0B63"/>
    <w:rsid w:val="001B0EA5"/>
    <w:rsid w:val="001B18F6"/>
    <w:rsid w:val="001B2D90"/>
    <w:rsid w:val="001B49F2"/>
    <w:rsid w:val="001B5CB7"/>
    <w:rsid w:val="001B62D8"/>
    <w:rsid w:val="001C2C53"/>
    <w:rsid w:val="001C34CB"/>
    <w:rsid w:val="001C3CB4"/>
    <w:rsid w:val="001D233A"/>
    <w:rsid w:val="001D30D9"/>
    <w:rsid w:val="001D4190"/>
    <w:rsid w:val="001D41C9"/>
    <w:rsid w:val="001D5E0D"/>
    <w:rsid w:val="001E1718"/>
    <w:rsid w:val="001E23B6"/>
    <w:rsid w:val="001E3FC0"/>
    <w:rsid w:val="001E5C0E"/>
    <w:rsid w:val="001E60D1"/>
    <w:rsid w:val="001E6AEE"/>
    <w:rsid w:val="001F1570"/>
    <w:rsid w:val="001F1742"/>
    <w:rsid w:val="001F5A2D"/>
    <w:rsid w:val="001F693A"/>
    <w:rsid w:val="001F748B"/>
    <w:rsid w:val="001F76C1"/>
    <w:rsid w:val="001F7830"/>
    <w:rsid w:val="002000DB"/>
    <w:rsid w:val="00200621"/>
    <w:rsid w:val="00202952"/>
    <w:rsid w:val="002048B1"/>
    <w:rsid w:val="002056CC"/>
    <w:rsid w:val="00205E64"/>
    <w:rsid w:val="0020661C"/>
    <w:rsid w:val="002067E0"/>
    <w:rsid w:val="002073D8"/>
    <w:rsid w:val="00207AA1"/>
    <w:rsid w:val="00210EF2"/>
    <w:rsid w:val="0021198B"/>
    <w:rsid w:val="00212352"/>
    <w:rsid w:val="00212AEB"/>
    <w:rsid w:val="00212EE0"/>
    <w:rsid w:val="002167D4"/>
    <w:rsid w:val="0022669D"/>
    <w:rsid w:val="00230A4A"/>
    <w:rsid w:val="00230E89"/>
    <w:rsid w:val="00231C8C"/>
    <w:rsid w:val="00232FBE"/>
    <w:rsid w:val="00233C0E"/>
    <w:rsid w:val="00234E0D"/>
    <w:rsid w:val="002351CC"/>
    <w:rsid w:val="00235CDB"/>
    <w:rsid w:val="00236235"/>
    <w:rsid w:val="00236E49"/>
    <w:rsid w:val="0024093A"/>
    <w:rsid w:val="0024184A"/>
    <w:rsid w:val="00242DC5"/>
    <w:rsid w:val="00244362"/>
    <w:rsid w:val="0024567E"/>
    <w:rsid w:val="0024592E"/>
    <w:rsid w:val="002470E0"/>
    <w:rsid w:val="0025082B"/>
    <w:rsid w:val="00251323"/>
    <w:rsid w:val="002543FE"/>
    <w:rsid w:val="0026031A"/>
    <w:rsid w:val="00262AB9"/>
    <w:rsid w:val="00266F56"/>
    <w:rsid w:val="00266FCA"/>
    <w:rsid w:val="00267DC5"/>
    <w:rsid w:val="0027185A"/>
    <w:rsid w:val="00274DDD"/>
    <w:rsid w:val="002762C4"/>
    <w:rsid w:val="002767F1"/>
    <w:rsid w:val="0028181E"/>
    <w:rsid w:val="002820D5"/>
    <w:rsid w:val="00283BB7"/>
    <w:rsid w:val="00283E92"/>
    <w:rsid w:val="002870C0"/>
    <w:rsid w:val="00287590"/>
    <w:rsid w:val="00287D9D"/>
    <w:rsid w:val="00290794"/>
    <w:rsid w:val="00292A16"/>
    <w:rsid w:val="00293B21"/>
    <w:rsid w:val="002954FA"/>
    <w:rsid w:val="002959F5"/>
    <w:rsid w:val="00297102"/>
    <w:rsid w:val="002A1A91"/>
    <w:rsid w:val="002A21A2"/>
    <w:rsid w:val="002A3108"/>
    <w:rsid w:val="002A4C89"/>
    <w:rsid w:val="002A66A8"/>
    <w:rsid w:val="002B009C"/>
    <w:rsid w:val="002B0350"/>
    <w:rsid w:val="002B0459"/>
    <w:rsid w:val="002B104C"/>
    <w:rsid w:val="002B20AC"/>
    <w:rsid w:val="002B339B"/>
    <w:rsid w:val="002B3413"/>
    <w:rsid w:val="002B44E7"/>
    <w:rsid w:val="002B594A"/>
    <w:rsid w:val="002B683B"/>
    <w:rsid w:val="002B7FA4"/>
    <w:rsid w:val="002C31ED"/>
    <w:rsid w:val="002C51CD"/>
    <w:rsid w:val="002C52D5"/>
    <w:rsid w:val="002C5E55"/>
    <w:rsid w:val="002C6882"/>
    <w:rsid w:val="002C7B0A"/>
    <w:rsid w:val="002D07F9"/>
    <w:rsid w:val="002D217B"/>
    <w:rsid w:val="002D3EA6"/>
    <w:rsid w:val="002D4378"/>
    <w:rsid w:val="002D595B"/>
    <w:rsid w:val="002D6233"/>
    <w:rsid w:val="002E1836"/>
    <w:rsid w:val="002E1E4B"/>
    <w:rsid w:val="002E3360"/>
    <w:rsid w:val="002E75A3"/>
    <w:rsid w:val="002F01AD"/>
    <w:rsid w:val="002F1196"/>
    <w:rsid w:val="002F4AC4"/>
    <w:rsid w:val="002F642E"/>
    <w:rsid w:val="002F7687"/>
    <w:rsid w:val="00300C8D"/>
    <w:rsid w:val="00302E31"/>
    <w:rsid w:val="003046BD"/>
    <w:rsid w:val="00304F02"/>
    <w:rsid w:val="00305088"/>
    <w:rsid w:val="00307940"/>
    <w:rsid w:val="00310BF4"/>
    <w:rsid w:val="00311AF7"/>
    <w:rsid w:val="00315004"/>
    <w:rsid w:val="00316146"/>
    <w:rsid w:val="003166B5"/>
    <w:rsid w:val="0032056E"/>
    <w:rsid w:val="0032508F"/>
    <w:rsid w:val="00326323"/>
    <w:rsid w:val="00326934"/>
    <w:rsid w:val="00327044"/>
    <w:rsid w:val="00331D6F"/>
    <w:rsid w:val="00333B7F"/>
    <w:rsid w:val="00335276"/>
    <w:rsid w:val="00335C1C"/>
    <w:rsid w:val="00336E29"/>
    <w:rsid w:val="003402FF"/>
    <w:rsid w:val="003424CB"/>
    <w:rsid w:val="00342786"/>
    <w:rsid w:val="003439CB"/>
    <w:rsid w:val="0034456E"/>
    <w:rsid w:val="00345C43"/>
    <w:rsid w:val="0034656A"/>
    <w:rsid w:val="00347109"/>
    <w:rsid w:val="003542D1"/>
    <w:rsid w:val="0036043C"/>
    <w:rsid w:val="003611F9"/>
    <w:rsid w:val="00361F60"/>
    <w:rsid w:val="0036249B"/>
    <w:rsid w:val="00362B29"/>
    <w:rsid w:val="00371A37"/>
    <w:rsid w:val="003735AA"/>
    <w:rsid w:val="00374C06"/>
    <w:rsid w:val="0037579E"/>
    <w:rsid w:val="0038089D"/>
    <w:rsid w:val="0038185A"/>
    <w:rsid w:val="003838CD"/>
    <w:rsid w:val="003841DB"/>
    <w:rsid w:val="00384BD8"/>
    <w:rsid w:val="003859C2"/>
    <w:rsid w:val="00386F17"/>
    <w:rsid w:val="0038765F"/>
    <w:rsid w:val="00387C2C"/>
    <w:rsid w:val="00390447"/>
    <w:rsid w:val="00392474"/>
    <w:rsid w:val="0039607A"/>
    <w:rsid w:val="003979FE"/>
    <w:rsid w:val="003A45EB"/>
    <w:rsid w:val="003A4FED"/>
    <w:rsid w:val="003A5054"/>
    <w:rsid w:val="003A521D"/>
    <w:rsid w:val="003A56C7"/>
    <w:rsid w:val="003A7C7F"/>
    <w:rsid w:val="003A7ECC"/>
    <w:rsid w:val="003B05DD"/>
    <w:rsid w:val="003B0C91"/>
    <w:rsid w:val="003B475E"/>
    <w:rsid w:val="003B49F8"/>
    <w:rsid w:val="003B5526"/>
    <w:rsid w:val="003B5BD2"/>
    <w:rsid w:val="003B667B"/>
    <w:rsid w:val="003C1115"/>
    <w:rsid w:val="003C1678"/>
    <w:rsid w:val="003C3C0A"/>
    <w:rsid w:val="003C5236"/>
    <w:rsid w:val="003C56F8"/>
    <w:rsid w:val="003C59EA"/>
    <w:rsid w:val="003C6265"/>
    <w:rsid w:val="003C7050"/>
    <w:rsid w:val="003C7A30"/>
    <w:rsid w:val="003D09E0"/>
    <w:rsid w:val="003D2DFB"/>
    <w:rsid w:val="003D520B"/>
    <w:rsid w:val="003D5E4D"/>
    <w:rsid w:val="003D75C4"/>
    <w:rsid w:val="003E07E0"/>
    <w:rsid w:val="003E0D6C"/>
    <w:rsid w:val="003E2679"/>
    <w:rsid w:val="003E6418"/>
    <w:rsid w:val="003E70E6"/>
    <w:rsid w:val="003F0B3A"/>
    <w:rsid w:val="003F0B64"/>
    <w:rsid w:val="003F0FF0"/>
    <w:rsid w:val="003F1F4A"/>
    <w:rsid w:val="003F2D19"/>
    <w:rsid w:val="003F3CB6"/>
    <w:rsid w:val="003F67C8"/>
    <w:rsid w:val="003F704A"/>
    <w:rsid w:val="004007C4"/>
    <w:rsid w:val="00400F40"/>
    <w:rsid w:val="004015CF"/>
    <w:rsid w:val="00402DF7"/>
    <w:rsid w:val="00403D54"/>
    <w:rsid w:val="004047F7"/>
    <w:rsid w:val="004102F6"/>
    <w:rsid w:val="0041092D"/>
    <w:rsid w:val="004126C4"/>
    <w:rsid w:val="0041290E"/>
    <w:rsid w:val="00412BB0"/>
    <w:rsid w:val="0041340F"/>
    <w:rsid w:val="004135DE"/>
    <w:rsid w:val="00414311"/>
    <w:rsid w:val="00415902"/>
    <w:rsid w:val="004171B9"/>
    <w:rsid w:val="004176DB"/>
    <w:rsid w:val="004209BD"/>
    <w:rsid w:val="004254D0"/>
    <w:rsid w:val="00433684"/>
    <w:rsid w:val="0043567E"/>
    <w:rsid w:val="00435C2F"/>
    <w:rsid w:val="00436010"/>
    <w:rsid w:val="00436DD7"/>
    <w:rsid w:val="004376D3"/>
    <w:rsid w:val="00437F89"/>
    <w:rsid w:val="00440D52"/>
    <w:rsid w:val="00441023"/>
    <w:rsid w:val="004416D4"/>
    <w:rsid w:val="00441A85"/>
    <w:rsid w:val="00444B70"/>
    <w:rsid w:val="004456F8"/>
    <w:rsid w:val="00446ADB"/>
    <w:rsid w:val="00447489"/>
    <w:rsid w:val="00447FEF"/>
    <w:rsid w:val="00450C66"/>
    <w:rsid w:val="00450CD2"/>
    <w:rsid w:val="004511B3"/>
    <w:rsid w:val="004524F4"/>
    <w:rsid w:val="00454F9D"/>
    <w:rsid w:val="004565AE"/>
    <w:rsid w:val="004575F5"/>
    <w:rsid w:val="00460435"/>
    <w:rsid w:val="00461447"/>
    <w:rsid w:val="00462E5D"/>
    <w:rsid w:val="00464549"/>
    <w:rsid w:val="00464558"/>
    <w:rsid w:val="00464796"/>
    <w:rsid w:val="00467792"/>
    <w:rsid w:val="00473EB5"/>
    <w:rsid w:val="004761B2"/>
    <w:rsid w:val="00477F82"/>
    <w:rsid w:val="00481F8E"/>
    <w:rsid w:val="00485AA0"/>
    <w:rsid w:val="0048652C"/>
    <w:rsid w:val="00487C4A"/>
    <w:rsid w:val="00492B3B"/>
    <w:rsid w:val="004931A4"/>
    <w:rsid w:val="00493F41"/>
    <w:rsid w:val="004948FC"/>
    <w:rsid w:val="00494B77"/>
    <w:rsid w:val="00496091"/>
    <w:rsid w:val="00497B66"/>
    <w:rsid w:val="004A01B4"/>
    <w:rsid w:val="004A3F3F"/>
    <w:rsid w:val="004A4FD7"/>
    <w:rsid w:val="004A5219"/>
    <w:rsid w:val="004A5F3D"/>
    <w:rsid w:val="004B0D67"/>
    <w:rsid w:val="004B111E"/>
    <w:rsid w:val="004B5AC8"/>
    <w:rsid w:val="004B6C9B"/>
    <w:rsid w:val="004B7CE4"/>
    <w:rsid w:val="004B7F43"/>
    <w:rsid w:val="004C0185"/>
    <w:rsid w:val="004C04D0"/>
    <w:rsid w:val="004C31F8"/>
    <w:rsid w:val="004C3FAB"/>
    <w:rsid w:val="004C4183"/>
    <w:rsid w:val="004C6FF4"/>
    <w:rsid w:val="004D2083"/>
    <w:rsid w:val="004D2D57"/>
    <w:rsid w:val="004D7796"/>
    <w:rsid w:val="004D7FEE"/>
    <w:rsid w:val="004E08C3"/>
    <w:rsid w:val="004E245E"/>
    <w:rsid w:val="004E2D0D"/>
    <w:rsid w:val="004E2E37"/>
    <w:rsid w:val="004E2F28"/>
    <w:rsid w:val="004E4179"/>
    <w:rsid w:val="004E6ED6"/>
    <w:rsid w:val="004E70AB"/>
    <w:rsid w:val="004F02E4"/>
    <w:rsid w:val="004F3C05"/>
    <w:rsid w:val="004F48CD"/>
    <w:rsid w:val="004F4E5E"/>
    <w:rsid w:val="004F4F75"/>
    <w:rsid w:val="004F68A0"/>
    <w:rsid w:val="004F779C"/>
    <w:rsid w:val="004F77E4"/>
    <w:rsid w:val="00500A0F"/>
    <w:rsid w:val="0050251C"/>
    <w:rsid w:val="00506325"/>
    <w:rsid w:val="00506BAF"/>
    <w:rsid w:val="00506D2F"/>
    <w:rsid w:val="0050761F"/>
    <w:rsid w:val="00507D64"/>
    <w:rsid w:val="005103B5"/>
    <w:rsid w:val="00510870"/>
    <w:rsid w:val="00510C3C"/>
    <w:rsid w:val="0051111E"/>
    <w:rsid w:val="005113C4"/>
    <w:rsid w:val="00512993"/>
    <w:rsid w:val="00514210"/>
    <w:rsid w:val="005146EB"/>
    <w:rsid w:val="00515181"/>
    <w:rsid w:val="00515CA6"/>
    <w:rsid w:val="005163F9"/>
    <w:rsid w:val="00516C0F"/>
    <w:rsid w:val="0052097E"/>
    <w:rsid w:val="00521E29"/>
    <w:rsid w:val="00522490"/>
    <w:rsid w:val="00523B0A"/>
    <w:rsid w:val="005246F0"/>
    <w:rsid w:val="00527F14"/>
    <w:rsid w:val="00530C21"/>
    <w:rsid w:val="00531AA5"/>
    <w:rsid w:val="00533B12"/>
    <w:rsid w:val="00533BFF"/>
    <w:rsid w:val="005341AC"/>
    <w:rsid w:val="00535B5D"/>
    <w:rsid w:val="00536BD2"/>
    <w:rsid w:val="0053755D"/>
    <w:rsid w:val="00540627"/>
    <w:rsid w:val="005409FB"/>
    <w:rsid w:val="00543AFF"/>
    <w:rsid w:val="00543E65"/>
    <w:rsid w:val="0054420D"/>
    <w:rsid w:val="00547825"/>
    <w:rsid w:val="00547E44"/>
    <w:rsid w:val="00550AD5"/>
    <w:rsid w:val="00550CB2"/>
    <w:rsid w:val="0055169A"/>
    <w:rsid w:val="00552340"/>
    <w:rsid w:val="005550AD"/>
    <w:rsid w:val="005556EB"/>
    <w:rsid w:val="0055588F"/>
    <w:rsid w:val="00555BC2"/>
    <w:rsid w:val="0055691F"/>
    <w:rsid w:val="00560E28"/>
    <w:rsid w:val="0056177E"/>
    <w:rsid w:val="00562306"/>
    <w:rsid w:val="0056298A"/>
    <w:rsid w:val="00563317"/>
    <w:rsid w:val="00563EB7"/>
    <w:rsid w:val="00564815"/>
    <w:rsid w:val="00565A1E"/>
    <w:rsid w:val="00570FD3"/>
    <w:rsid w:val="005726E7"/>
    <w:rsid w:val="00573778"/>
    <w:rsid w:val="005748A3"/>
    <w:rsid w:val="0057632F"/>
    <w:rsid w:val="0057724E"/>
    <w:rsid w:val="005826F2"/>
    <w:rsid w:val="0058528B"/>
    <w:rsid w:val="00586BFA"/>
    <w:rsid w:val="00591385"/>
    <w:rsid w:val="00592FC3"/>
    <w:rsid w:val="00593466"/>
    <w:rsid w:val="0059346F"/>
    <w:rsid w:val="005A0C2E"/>
    <w:rsid w:val="005A2324"/>
    <w:rsid w:val="005A23CC"/>
    <w:rsid w:val="005A3D8E"/>
    <w:rsid w:val="005A4227"/>
    <w:rsid w:val="005B136D"/>
    <w:rsid w:val="005B13D6"/>
    <w:rsid w:val="005B2ED4"/>
    <w:rsid w:val="005B6268"/>
    <w:rsid w:val="005B772B"/>
    <w:rsid w:val="005B7807"/>
    <w:rsid w:val="005C12D6"/>
    <w:rsid w:val="005C257A"/>
    <w:rsid w:val="005C423F"/>
    <w:rsid w:val="005C580E"/>
    <w:rsid w:val="005D00BB"/>
    <w:rsid w:val="005D10D1"/>
    <w:rsid w:val="005D1C37"/>
    <w:rsid w:val="005D1DA4"/>
    <w:rsid w:val="005D3A2C"/>
    <w:rsid w:val="005D4F30"/>
    <w:rsid w:val="005D60AF"/>
    <w:rsid w:val="005D6846"/>
    <w:rsid w:val="005E473D"/>
    <w:rsid w:val="005E4DBC"/>
    <w:rsid w:val="005F0948"/>
    <w:rsid w:val="005F18D7"/>
    <w:rsid w:val="005F2FDF"/>
    <w:rsid w:val="005F46EB"/>
    <w:rsid w:val="005F714C"/>
    <w:rsid w:val="005F769A"/>
    <w:rsid w:val="00600681"/>
    <w:rsid w:val="006010CF"/>
    <w:rsid w:val="00602689"/>
    <w:rsid w:val="006026A6"/>
    <w:rsid w:val="00607B3F"/>
    <w:rsid w:val="006107C9"/>
    <w:rsid w:val="00612F38"/>
    <w:rsid w:val="00613008"/>
    <w:rsid w:val="0061715C"/>
    <w:rsid w:val="006201C8"/>
    <w:rsid w:val="00620B0C"/>
    <w:rsid w:val="00624AED"/>
    <w:rsid w:val="00624F33"/>
    <w:rsid w:val="006272A0"/>
    <w:rsid w:val="00630A48"/>
    <w:rsid w:val="00630F30"/>
    <w:rsid w:val="006321FA"/>
    <w:rsid w:val="00637043"/>
    <w:rsid w:val="00642F7D"/>
    <w:rsid w:val="006437C7"/>
    <w:rsid w:val="00643B67"/>
    <w:rsid w:val="00644020"/>
    <w:rsid w:val="00644303"/>
    <w:rsid w:val="006448A4"/>
    <w:rsid w:val="00644AD5"/>
    <w:rsid w:val="00645D04"/>
    <w:rsid w:val="00645E0D"/>
    <w:rsid w:val="00646211"/>
    <w:rsid w:val="00651A5D"/>
    <w:rsid w:val="00653DFF"/>
    <w:rsid w:val="00660A27"/>
    <w:rsid w:val="00661D25"/>
    <w:rsid w:val="00663243"/>
    <w:rsid w:val="0066377C"/>
    <w:rsid w:val="00664185"/>
    <w:rsid w:val="00664BB3"/>
    <w:rsid w:val="00664EDD"/>
    <w:rsid w:val="0066747B"/>
    <w:rsid w:val="00667703"/>
    <w:rsid w:val="00667AD3"/>
    <w:rsid w:val="00667DE4"/>
    <w:rsid w:val="00671A5B"/>
    <w:rsid w:val="00673145"/>
    <w:rsid w:val="00674254"/>
    <w:rsid w:val="006745C7"/>
    <w:rsid w:val="00677E21"/>
    <w:rsid w:val="00680936"/>
    <w:rsid w:val="006830B7"/>
    <w:rsid w:val="0068413B"/>
    <w:rsid w:val="006845C1"/>
    <w:rsid w:val="006846AC"/>
    <w:rsid w:val="00685C41"/>
    <w:rsid w:val="00687E8E"/>
    <w:rsid w:val="00691B04"/>
    <w:rsid w:val="006938CE"/>
    <w:rsid w:val="00695AF3"/>
    <w:rsid w:val="00697C22"/>
    <w:rsid w:val="006A151A"/>
    <w:rsid w:val="006A1635"/>
    <w:rsid w:val="006A453F"/>
    <w:rsid w:val="006A50CA"/>
    <w:rsid w:val="006A566B"/>
    <w:rsid w:val="006A5BAC"/>
    <w:rsid w:val="006A65B7"/>
    <w:rsid w:val="006A6B5F"/>
    <w:rsid w:val="006B1A77"/>
    <w:rsid w:val="006B4B67"/>
    <w:rsid w:val="006B72D7"/>
    <w:rsid w:val="006C251A"/>
    <w:rsid w:val="006C3836"/>
    <w:rsid w:val="006C572A"/>
    <w:rsid w:val="006C640D"/>
    <w:rsid w:val="006C6615"/>
    <w:rsid w:val="006C6C88"/>
    <w:rsid w:val="006C6E3C"/>
    <w:rsid w:val="006C744C"/>
    <w:rsid w:val="006C7CC2"/>
    <w:rsid w:val="006D0037"/>
    <w:rsid w:val="006D0531"/>
    <w:rsid w:val="006D1E53"/>
    <w:rsid w:val="006D231B"/>
    <w:rsid w:val="006D4E09"/>
    <w:rsid w:val="006D5F63"/>
    <w:rsid w:val="006D6D68"/>
    <w:rsid w:val="006E0770"/>
    <w:rsid w:val="006E0ACC"/>
    <w:rsid w:val="006E1855"/>
    <w:rsid w:val="006E50D8"/>
    <w:rsid w:val="006E528B"/>
    <w:rsid w:val="006E6FA8"/>
    <w:rsid w:val="006F17D1"/>
    <w:rsid w:val="006F192D"/>
    <w:rsid w:val="006F2E6E"/>
    <w:rsid w:val="006F529D"/>
    <w:rsid w:val="006F5C55"/>
    <w:rsid w:val="006F7AB5"/>
    <w:rsid w:val="00701A44"/>
    <w:rsid w:val="00702DF7"/>
    <w:rsid w:val="00702F8D"/>
    <w:rsid w:val="00704BEC"/>
    <w:rsid w:val="0071057B"/>
    <w:rsid w:val="00710609"/>
    <w:rsid w:val="007126FD"/>
    <w:rsid w:val="0071380B"/>
    <w:rsid w:val="0071609A"/>
    <w:rsid w:val="00717990"/>
    <w:rsid w:val="0072032C"/>
    <w:rsid w:val="00721214"/>
    <w:rsid w:val="0072179E"/>
    <w:rsid w:val="00721B73"/>
    <w:rsid w:val="00726ED7"/>
    <w:rsid w:val="007274C5"/>
    <w:rsid w:val="00727561"/>
    <w:rsid w:val="00727C25"/>
    <w:rsid w:val="00731712"/>
    <w:rsid w:val="007329C4"/>
    <w:rsid w:val="007348FE"/>
    <w:rsid w:val="00734ECB"/>
    <w:rsid w:val="00735755"/>
    <w:rsid w:val="007361DD"/>
    <w:rsid w:val="0073676C"/>
    <w:rsid w:val="0074025B"/>
    <w:rsid w:val="00741C1E"/>
    <w:rsid w:val="00741F2F"/>
    <w:rsid w:val="007475BA"/>
    <w:rsid w:val="0075057F"/>
    <w:rsid w:val="00757A73"/>
    <w:rsid w:val="007605F1"/>
    <w:rsid w:val="00762FEB"/>
    <w:rsid w:val="00763DA5"/>
    <w:rsid w:val="00764A90"/>
    <w:rsid w:val="00764FB0"/>
    <w:rsid w:val="0076618B"/>
    <w:rsid w:val="00772919"/>
    <w:rsid w:val="007729F3"/>
    <w:rsid w:val="00772ABF"/>
    <w:rsid w:val="00774FB3"/>
    <w:rsid w:val="007803D6"/>
    <w:rsid w:val="0078055E"/>
    <w:rsid w:val="00780A15"/>
    <w:rsid w:val="00783A1E"/>
    <w:rsid w:val="007853A9"/>
    <w:rsid w:val="00785B00"/>
    <w:rsid w:val="007876FA"/>
    <w:rsid w:val="0079116B"/>
    <w:rsid w:val="00792122"/>
    <w:rsid w:val="007922C1"/>
    <w:rsid w:val="00792313"/>
    <w:rsid w:val="0079276D"/>
    <w:rsid w:val="00793F27"/>
    <w:rsid w:val="0079467A"/>
    <w:rsid w:val="00794763"/>
    <w:rsid w:val="007952FE"/>
    <w:rsid w:val="00795963"/>
    <w:rsid w:val="00795C65"/>
    <w:rsid w:val="007972D6"/>
    <w:rsid w:val="007A0B7F"/>
    <w:rsid w:val="007A1C82"/>
    <w:rsid w:val="007A2343"/>
    <w:rsid w:val="007A5D71"/>
    <w:rsid w:val="007A798F"/>
    <w:rsid w:val="007B22BE"/>
    <w:rsid w:val="007B255D"/>
    <w:rsid w:val="007B2EC7"/>
    <w:rsid w:val="007B34AE"/>
    <w:rsid w:val="007B4BC5"/>
    <w:rsid w:val="007B4C55"/>
    <w:rsid w:val="007B5476"/>
    <w:rsid w:val="007B64DC"/>
    <w:rsid w:val="007B7467"/>
    <w:rsid w:val="007C05FA"/>
    <w:rsid w:val="007C0CA5"/>
    <w:rsid w:val="007C0D55"/>
    <w:rsid w:val="007C43AA"/>
    <w:rsid w:val="007C460D"/>
    <w:rsid w:val="007C4F26"/>
    <w:rsid w:val="007D0393"/>
    <w:rsid w:val="007D4305"/>
    <w:rsid w:val="007D4850"/>
    <w:rsid w:val="007D626B"/>
    <w:rsid w:val="007D68D1"/>
    <w:rsid w:val="007E0BA6"/>
    <w:rsid w:val="007E12A8"/>
    <w:rsid w:val="007E1BC6"/>
    <w:rsid w:val="007E33BB"/>
    <w:rsid w:val="007E3BF0"/>
    <w:rsid w:val="007E749A"/>
    <w:rsid w:val="007F0BBB"/>
    <w:rsid w:val="007F352C"/>
    <w:rsid w:val="007F3A91"/>
    <w:rsid w:val="007F6844"/>
    <w:rsid w:val="007F6F53"/>
    <w:rsid w:val="00800235"/>
    <w:rsid w:val="008005D1"/>
    <w:rsid w:val="00801BCD"/>
    <w:rsid w:val="00802137"/>
    <w:rsid w:val="00806A8E"/>
    <w:rsid w:val="00806BA2"/>
    <w:rsid w:val="00807656"/>
    <w:rsid w:val="00807C2D"/>
    <w:rsid w:val="00812D83"/>
    <w:rsid w:val="008150A3"/>
    <w:rsid w:val="008154E1"/>
    <w:rsid w:val="008165D0"/>
    <w:rsid w:val="0082045A"/>
    <w:rsid w:val="008235B5"/>
    <w:rsid w:val="008257C3"/>
    <w:rsid w:val="00826332"/>
    <w:rsid w:val="008267A7"/>
    <w:rsid w:val="00834F25"/>
    <w:rsid w:val="00837457"/>
    <w:rsid w:val="008379E6"/>
    <w:rsid w:val="0084243A"/>
    <w:rsid w:val="00842849"/>
    <w:rsid w:val="0084315E"/>
    <w:rsid w:val="008462D9"/>
    <w:rsid w:val="00846A40"/>
    <w:rsid w:val="00847C0B"/>
    <w:rsid w:val="00851787"/>
    <w:rsid w:val="00852838"/>
    <w:rsid w:val="008545FB"/>
    <w:rsid w:val="008603B8"/>
    <w:rsid w:val="0086107B"/>
    <w:rsid w:val="0086367D"/>
    <w:rsid w:val="00863842"/>
    <w:rsid w:val="0086427E"/>
    <w:rsid w:val="00865B42"/>
    <w:rsid w:val="00866BBE"/>
    <w:rsid w:val="008674F0"/>
    <w:rsid w:val="00870109"/>
    <w:rsid w:val="00872CAB"/>
    <w:rsid w:val="00874672"/>
    <w:rsid w:val="00875C48"/>
    <w:rsid w:val="00875D47"/>
    <w:rsid w:val="0088056E"/>
    <w:rsid w:val="0088291D"/>
    <w:rsid w:val="0088361B"/>
    <w:rsid w:val="008844B4"/>
    <w:rsid w:val="008866FA"/>
    <w:rsid w:val="008867D2"/>
    <w:rsid w:val="008867E1"/>
    <w:rsid w:val="00886C81"/>
    <w:rsid w:val="00887414"/>
    <w:rsid w:val="008875AE"/>
    <w:rsid w:val="008875CC"/>
    <w:rsid w:val="00891091"/>
    <w:rsid w:val="00893485"/>
    <w:rsid w:val="008938F8"/>
    <w:rsid w:val="00894C57"/>
    <w:rsid w:val="00895B3B"/>
    <w:rsid w:val="00895C70"/>
    <w:rsid w:val="00895D7E"/>
    <w:rsid w:val="008974A8"/>
    <w:rsid w:val="008A0E30"/>
    <w:rsid w:val="008A254F"/>
    <w:rsid w:val="008A504C"/>
    <w:rsid w:val="008A5750"/>
    <w:rsid w:val="008B2220"/>
    <w:rsid w:val="008B2757"/>
    <w:rsid w:val="008B43C0"/>
    <w:rsid w:val="008B537F"/>
    <w:rsid w:val="008C1FA8"/>
    <w:rsid w:val="008C3F80"/>
    <w:rsid w:val="008C4539"/>
    <w:rsid w:val="008C6EAD"/>
    <w:rsid w:val="008D23E6"/>
    <w:rsid w:val="008D588B"/>
    <w:rsid w:val="008D66F5"/>
    <w:rsid w:val="008D71D4"/>
    <w:rsid w:val="008E04C2"/>
    <w:rsid w:val="008E2B40"/>
    <w:rsid w:val="008E33F6"/>
    <w:rsid w:val="008E60AB"/>
    <w:rsid w:val="008E62BC"/>
    <w:rsid w:val="008E6CD7"/>
    <w:rsid w:val="008F107E"/>
    <w:rsid w:val="008F555D"/>
    <w:rsid w:val="008F641D"/>
    <w:rsid w:val="008F6666"/>
    <w:rsid w:val="008F7925"/>
    <w:rsid w:val="008F7CA0"/>
    <w:rsid w:val="009008CD"/>
    <w:rsid w:val="00901C07"/>
    <w:rsid w:val="00902881"/>
    <w:rsid w:val="00903201"/>
    <w:rsid w:val="00903EC4"/>
    <w:rsid w:val="0090675A"/>
    <w:rsid w:val="00907B85"/>
    <w:rsid w:val="00910F49"/>
    <w:rsid w:val="009138B3"/>
    <w:rsid w:val="00914052"/>
    <w:rsid w:val="00915E99"/>
    <w:rsid w:val="00916A8F"/>
    <w:rsid w:val="009217AF"/>
    <w:rsid w:val="00922637"/>
    <w:rsid w:val="0092479D"/>
    <w:rsid w:val="009256C8"/>
    <w:rsid w:val="00926868"/>
    <w:rsid w:val="00927C0B"/>
    <w:rsid w:val="00930E14"/>
    <w:rsid w:val="0093127D"/>
    <w:rsid w:val="00933402"/>
    <w:rsid w:val="0093410D"/>
    <w:rsid w:val="00934951"/>
    <w:rsid w:val="00935ADE"/>
    <w:rsid w:val="00936B52"/>
    <w:rsid w:val="009436FA"/>
    <w:rsid w:val="00944299"/>
    <w:rsid w:val="00945FB8"/>
    <w:rsid w:val="00952F5F"/>
    <w:rsid w:val="009542F9"/>
    <w:rsid w:val="00954743"/>
    <w:rsid w:val="0095501F"/>
    <w:rsid w:val="00955498"/>
    <w:rsid w:val="00955DA9"/>
    <w:rsid w:val="009625FE"/>
    <w:rsid w:val="009629C9"/>
    <w:rsid w:val="009649B1"/>
    <w:rsid w:val="009650A4"/>
    <w:rsid w:val="00970CAD"/>
    <w:rsid w:val="0097136E"/>
    <w:rsid w:val="00972326"/>
    <w:rsid w:val="00972A5E"/>
    <w:rsid w:val="00972E35"/>
    <w:rsid w:val="00975A3C"/>
    <w:rsid w:val="00976899"/>
    <w:rsid w:val="00981CF8"/>
    <w:rsid w:val="00984241"/>
    <w:rsid w:val="00984B22"/>
    <w:rsid w:val="00985930"/>
    <w:rsid w:val="0098655F"/>
    <w:rsid w:val="0098716A"/>
    <w:rsid w:val="00993D94"/>
    <w:rsid w:val="00995263"/>
    <w:rsid w:val="00996DAA"/>
    <w:rsid w:val="009A29BA"/>
    <w:rsid w:val="009A36CE"/>
    <w:rsid w:val="009A38ED"/>
    <w:rsid w:val="009A45E9"/>
    <w:rsid w:val="009A4C3E"/>
    <w:rsid w:val="009A6257"/>
    <w:rsid w:val="009B02A8"/>
    <w:rsid w:val="009B05B3"/>
    <w:rsid w:val="009B0AD8"/>
    <w:rsid w:val="009B1437"/>
    <w:rsid w:val="009B2637"/>
    <w:rsid w:val="009B3903"/>
    <w:rsid w:val="009B42E6"/>
    <w:rsid w:val="009B498F"/>
    <w:rsid w:val="009B4ED9"/>
    <w:rsid w:val="009B5FA4"/>
    <w:rsid w:val="009B6AA7"/>
    <w:rsid w:val="009B6F8E"/>
    <w:rsid w:val="009B7D44"/>
    <w:rsid w:val="009B7EB0"/>
    <w:rsid w:val="009C107C"/>
    <w:rsid w:val="009C1977"/>
    <w:rsid w:val="009C5180"/>
    <w:rsid w:val="009C54F2"/>
    <w:rsid w:val="009C5A2E"/>
    <w:rsid w:val="009C658F"/>
    <w:rsid w:val="009D12F2"/>
    <w:rsid w:val="009D1E64"/>
    <w:rsid w:val="009D232D"/>
    <w:rsid w:val="009D28E4"/>
    <w:rsid w:val="009D3AB5"/>
    <w:rsid w:val="009D664B"/>
    <w:rsid w:val="009D7F50"/>
    <w:rsid w:val="009D7FC8"/>
    <w:rsid w:val="009E5141"/>
    <w:rsid w:val="009E553C"/>
    <w:rsid w:val="009E59BC"/>
    <w:rsid w:val="009E7129"/>
    <w:rsid w:val="009F1987"/>
    <w:rsid w:val="009F239A"/>
    <w:rsid w:val="009F2E4C"/>
    <w:rsid w:val="009F38A6"/>
    <w:rsid w:val="009F42D6"/>
    <w:rsid w:val="009F5182"/>
    <w:rsid w:val="009F52BD"/>
    <w:rsid w:val="009F5B8A"/>
    <w:rsid w:val="00A00C9D"/>
    <w:rsid w:val="00A00CE0"/>
    <w:rsid w:val="00A0374B"/>
    <w:rsid w:val="00A06847"/>
    <w:rsid w:val="00A07D62"/>
    <w:rsid w:val="00A12FD1"/>
    <w:rsid w:val="00A13080"/>
    <w:rsid w:val="00A145BF"/>
    <w:rsid w:val="00A155CE"/>
    <w:rsid w:val="00A1733F"/>
    <w:rsid w:val="00A17505"/>
    <w:rsid w:val="00A17A64"/>
    <w:rsid w:val="00A20DF1"/>
    <w:rsid w:val="00A23ED6"/>
    <w:rsid w:val="00A24229"/>
    <w:rsid w:val="00A25A08"/>
    <w:rsid w:val="00A26C73"/>
    <w:rsid w:val="00A30020"/>
    <w:rsid w:val="00A31313"/>
    <w:rsid w:val="00A3153B"/>
    <w:rsid w:val="00A33603"/>
    <w:rsid w:val="00A3600E"/>
    <w:rsid w:val="00A3658B"/>
    <w:rsid w:val="00A41B01"/>
    <w:rsid w:val="00A43902"/>
    <w:rsid w:val="00A44DED"/>
    <w:rsid w:val="00A479C9"/>
    <w:rsid w:val="00A518C7"/>
    <w:rsid w:val="00A519CA"/>
    <w:rsid w:val="00A520FB"/>
    <w:rsid w:val="00A53747"/>
    <w:rsid w:val="00A5385E"/>
    <w:rsid w:val="00A53A61"/>
    <w:rsid w:val="00A53ECC"/>
    <w:rsid w:val="00A54B1C"/>
    <w:rsid w:val="00A55954"/>
    <w:rsid w:val="00A61B1F"/>
    <w:rsid w:val="00A621C5"/>
    <w:rsid w:val="00A6294C"/>
    <w:rsid w:val="00A62A81"/>
    <w:rsid w:val="00A6303A"/>
    <w:rsid w:val="00A646EB"/>
    <w:rsid w:val="00A65219"/>
    <w:rsid w:val="00A66D14"/>
    <w:rsid w:val="00A70282"/>
    <w:rsid w:val="00A71643"/>
    <w:rsid w:val="00A72BC1"/>
    <w:rsid w:val="00A761EA"/>
    <w:rsid w:val="00A81980"/>
    <w:rsid w:val="00A830EE"/>
    <w:rsid w:val="00A8374C"/>
    <w:rsid w:val="00A85754"/>
    <w:rsid w:val="00A86236"/>
    <w:rsid w:val="00A87177"/>
    <w:rsid w:val="00A932D5"/>
    <w:rsid w:val="00A94189"/>
    <w:rsid w:val="00A96298"/>
    <w:rsid w:val="00A9643A"/>
    <w:rsid w:val="00A96DDE"/>
    <w:rsid w:val="00A97DC5"/>
    <w:rsid w:val="00AA0851"/>
    <w:rsid w:val="00AA11D2"/>
    <w:rsid w:val="00AA2C0F"/>
    <w:rsid w:val="00AA3138"/>
    <w:rsid w:val="00AA4B17"/>
    <w:rsid w:val="00AA50F5"/>
    <w:rsid w:val="00AA55EB"/>
    <w:rsid w:val="00AA7E02"/>
    <w:rsid w:val="00AB07F1"/>
    <w:rsid w:val="00AB0B49"/>
    <w:rsid w:val="00AB0C58"/>
    <w:rsid w:val="00AB0F5D"/>
    <w:rsid w:val="00AB2380"/>
    <w:rsid w:val="00AB7C70"/>
    <w:rsid w:val="00AC0D55"/>
    <w:rsid w:val="00AC12F0"/>
    <w:rsid w:val="00AC1454"/>
    <w:rsid w:val="00AC35BE"/>
    <w:rsid w:val="00AC4550"/>
    <w:rsid w:val="00AC4AEB"/>
    <w:rsid w:val="00AC6A94"/>
    <w:rsid w:val="00AC712E"/>
    <w:rsid w:val="00AD1766"/>
    <w:rsid w:val="00AD4C1C"/>
    <w:rsid w:val="00AD5223"/>
    <w:rsid w:val="00AD5EAF"/>
    <w:rsid w:val="00AE0C55"/>
    <w:rsid w:val="00AE154B"/>
    <w:rsid w:val="00AE7019"/>
    <w:rsid w:val="00AE73B3"/>
    <w:rsid w:val="00AF0E17"/>
    <w:rsid w:val="00AF1A13"/>
    <w:rsid w:val="00AF26C8"/>
    <w:rsid w:val="00AF40BB"/>
    <w:rsid w:val="00AF4B0C"/>
    <w:rsid w:val="00B06209"/>
    <w:rsid w:val="00B10426"/>
    <w:rsid w:val="00B11B47"/>
    <w:rsid w:val="00B12791"/>
    <w:rsid w:val="00B12811"/>
    <w:rsid w:val="00B129F9"/>
    <w:rsid w:val="00B144FF"/>
    <w:rsid w:val="00B156FA"/>
    <w:rsid w:val="00B204B0"/>
    <w:rsid w:val="00B2083B"/>
    <w:rsid w:val="00B20F18"/>
    <w:rsid w:val="00B2209F"/>
    <w:rsid w:val="00B22B95"/>
    <w:rsid w:val="00B23207"/>
    <w:rsid w:val="00B24836"/>
    <w:rsid w:val="00B26544"/>
    <w:rsid w:val="00B26F02"/>
    <w:rsid w:val="00B27C2A"/>
    <w:rsid w:val="00B31DEC"/>
    <w:rsid w:val="00B32AA2"/>
    <w:rsid w:val="00B369F7"/>
    <w:rsid w:val="00B37B8C"/>
    <w:rsid w:val="00B4302D"/>
    <w:rsid w:val="00B43C45"/>
    <w:rsid w:val="00B4703E"/>
    <w:rsid w:val="00B50D2D"/>
    <w:rsid w:val="00B525B5"/>
    <w:rsid w:val="00B52B49"/>
    <w:rsid w:val="00B563FA"/>
    <w:rsid w:val="00B57FA2"/>
    <w:rsid w:val="00B600BF"/>
    <w:rsid w:val="00B6163F"/>
    <w:rsid w:val="00B61C0F"/>
    <w:rsid w:val="00B62F5E"/>
    <w:rsid w:val="00B66ECE"/>
    <w:rsid w:val="00B71ACE"/>
    <w:rsid w:val="00B7223B"/>
    <w:rsid w:val="00B7234C"/>
    <w:rsid w:val="00B724E4"/>
    <w:rsid w:val="00B72E2F"/>
    <w:rsid w:val="00B74F61"/>
    <w:rsid w:val="00B75C03"/>
    <w:rsid w:val="00B76C68"/>
    <w:rsid w:val="00B77911"/>
    <w:rsid w:val="00B82163"/>
    <w:rsid w:val="00B8337A"/>
    <w:rsid w:val="00B837C4"/>
    <w:rsid w:val="00B8569D"/>
    <w:rsid w:val="00B86228"/>
    <w:rsid w:val="00B86294"/>
    <w:rsid w:val="00B87D90"/>
    <w:rsid w:val="00B90903"/>
    <w:rsid w:val="00B90EFD"/>
    <w:rsid w:val="00B920F6"/>
    <w:rsid w:val="00B92571"/>
    <w:rsid w:val="00B9490A"/>
    <w:rsid w:val="00BA0688"/>
    <w:rsid w:val="00BA092F"/>
    <w:rsid w:val="00BA1582"/>
    <w:rsid w:val="00BA3C0C"/>
    <w:rsid w:val="00BA7BD2"/>
    <w:rsid w:val="00BB1DC2"/>
    <w:rsid w:val="00BB2438"/>
    <w:rsid w:val="00BB2907"/>
    <w:rsid w:val="00BB5455"/>
    <w:rsid w:val="00BB5E63"/>
    <w:rsid w:val="00BB6062"/>
    <w:rsid w:val="00BB6B52"/>
    <w:rsid w:val="00BB6D0B"/>
    <w:rsid w:val="00BC1544"/>
    <w:rsid w:val="00BC1FD0"/>
    <w:rsid w:val="00BC30F3"/>
    <w:rsid w:val="00BC4DFE"/>
    <w:rsid w:val="00BD0296"/>
    <w:rsid w:val="00BD087C"/>
    <w:rsid w:val="00BD1D5A"/>
    <w:rsid w:val="00BD2E97"/>
    <w:rsid w:val="00BD7012"/>
    <w:rsid w:val="00BD79B4"/>
    <w:rsid w:val="00BD7B98"/>
    <w:rsid w:val="00BD7E44"/>
    <w:rsid w:val="00BE0C27"/>
    <w:rsid w:val="00BE1AF3"/>
    <w:rsid w:val="00BE1DF2"/>
    <w:rsid w:val="00BE1E1A"/>
    <w:rsid w:val="00BE41ED"/>
    <w:rsid w:val="00BE4736"/>
    <w:rsid w:val="00BE61FE"/>
    <w:rsid w:val="00BE7BD3"/>
    <w:rsid w:val="00BF0785"/>
    <w:rsid w:val="00BF0C46"/>
    <w:rsid w:val="00BF1114"/>
    <w:rsid w:val="00BF20A7"/>
    <w:rsid w:val="00BF469C"/>
    <w:rsid w:val="00BF57CE"/>
    <w:rsid w:val="00BF6B9F"/>
    <w:rsid w:val="00BF6C95"/>
    <w:rsid w:val="00BF6D4C"/>
    <w:rsid w:val="00C047A1"/>
    <w:rsid w:val="00C04C34"/>
    <w:rsid w:val="00C04D31"/>
    <w:rsid w:val="00C05976"/>
    <w:rsid w:val="00C062B1"/>
    <w:rsid w:val="00C12946"/>
    <w:rsid w:val="00C12A84"/>
    <w:rsid w:val="00C12EA4"/>
    <w:rsid w:val="00C132C2"/>
    <w:rsid w:val="00C13EBF"/>
    <w:rsid w:val="00C146E5"/>
    <w:rsid w:val="00C1646A"/>
    <w:rsid w:val="00C167F3"/>
    <w:rsid w:val="00C16ED7"/>
    <w:rsid w:val="00C170D1"/>
    <w:rsid w:val="00C17532"/>
    <w:rsid w:val="00C20187"/>
    <w:rsid w:val="00C2020A"/>
    <w:rsid w:val="00C20382"/>
    <w:rsid w:val="00C24882"/>
    <w:rsid w:val="00C3010B"/>
    <w:rsid w:val="00C302E7"/>
    <w:rsid w:val="00C333DF"/>
    <w:rsid w:val="00C3359C"/>
    <w:rsid w:val="00C34544"/>
    <w:rsid w:val="00C347FD"/>
    <w:rsid w:val="00C34AB8"/>
    <w:rsid w:val="00C36C34"/>
    <w:rsid w:val="00C409F7"/>
    <w:rsid w:val="00C40CC4"/>
    <w:rsid w:val="00C41F5E"/>
    <w:rsid w:val="00C423FD"/>
    <w:rsid w:val="00C43F1A"/>
    <w:rsid w:val="00C4461C"/>
    <w:rsid w:val="00C44931"/>
    <w:rsid w:val="00C45D30"/>
    <w:rsid w:val="00C45FC8"/>
    <w:rsid w:val="00C538D5"/>
    <w:rsid w:val="00C54C9B"/>
    <w:rsid w:val="00C54F19"/>
    <w:rsid w:val="00C56E81"/>
    <w:rsid w:val="00C6078E"/>
    <w:rsid w:val="00C60B07"/>
    <w:rsid w:val="00C627E6"/>
    <w:rsid w:val="00C646F7"/>
    <w:rsid w:val="00C659AF"/>
    <w:rsid w:val="00C6742F"/>
    <w:rsid w:val="00C700D3"/>
    <w:rsid w:val="00C71CB9"/>
    <w:rsid w:val="00C733A1"/>
    <w:rsid w:val="00C73531"/>
    <w:rsid w:val="00C74C87"/>
    <w:rsid w:val="00C74F8C"/>
    <w:rsid w:val="00C771A5"/>
    <w:rsid w:val="00C80697"/>
    <w:rsid w:val="00C8195E"/>
    <w:rsid w:val="00C81E22"/>
    <w:rsid w:val="00C8260D"/>
    <w:rsid w:val="00C836DB"/>
    <w:rsid w:val="00C87BAE"/>
    <w:rsid w:val="00C928D9"/>
    <w:rsid w:val="00C938FE"/>
    <w:rsid w:val="00C949B3"/>
    <w:rsid w:val="00C957FB"/>
    <w:rsid w:val="00C9622A"/>
    <w:rsid w:val="00C96CCE"/>
    <w:rsid w:val="00CA1F36"/>
    <w:rsid w:val="00CA3039"/>
    <w:rsid w:val="00CA46B8"/>
    <w:rsid w:val="00CA48D9"/>
    <w:rsid w:val="00CA5443"/>
    <w:rsid w:val="00CA6DED"/>
    <w:rsid w:val="00CA71B5"/>
    <w:rsid w:val="00CB0469"/>
    <w:rsid w:val="00CB1095"/>
    <w:rsid w:val="00CB38C2"/>
    <w:rsid w:val="00CB6310"/>
    <w:rsid w:val="00CB79AA"/>
    <w:rsid w:val="00CC1A33"/>
    <w:rsid w:val="00CC217D"/>
    <w:rsid w:val="00CC3A42"/>
    <w:rsid w:val="00CC3B82"/>
    <w:rsid w:val="00CC6CF9"/>
    <w:rsid w:val="00CC7773"/>
    <w:rsid w:val="00CD1AA3"/>
    <w:rsid w:val="00CD1AF4"/>
    <w:rsid w:val="00CD3DB7"/>
    <w:rsid w:val="00CD4319"/>
    <w:rsid w:val="00CD48B8"/>
    <w:rsid w:val="00CD629F"/>
    <w:rsid w:val="00CE070A"/>
    <w:rsid w:val="00CE0D8B"/>
    <w:rsid w:val="00CE12F8"/>
    <w:rsid w:val="00CE15F2"/>
    <w:rsid w:val="00CE213A"/>
    <w:rsid w:val="00CE2FB0"/>
    <w:rsid w:val="00CE52B8"/>
    <w:rsid w:val="00CE742E"/>
    <w:rsid w:val="00CF358C"/>
    <w:rsid w:val="00CF400B"/>
    <w:rsid w:val="00CF4633"/>
    <w:rsid w:val="00CF4892"/>
    <w:rsid w:val="00CF505D"/>
    <w:rsid w:val="00CF72E1"/>
    <w:rsid w:val="00CF74FC"/>
    <w:rsid w:val="00D01206"/>
    <w:rsid w:val="00D03319"/>
    <w:rsid w:val="00D0426A"/>
    <w:rsid w:val="00D04699"/>
    <w:rsid w:val="00D053E0"/>
    <w:rsid w:val="00D06531"/>
    <w:rsid w:val="00D07CA1"/>
    <w:rsid w:val="00D10AB1"/>
    <w:rsid w:val="00D1302D"/>
    <w:rsid w:val="00D13C8D"/>
    <w:rsid w:val="00D1467B"/>
    <w:rsid w:val="00D15663"/>
    <w:rsid w:val="00D15D42"/>
    <w:rsid w:val="00D173E3"/>
    <w:rsid w:val="00D1769F"/>
    <w:rsid w:val="00D207E1"/>
    <w:rsid w:val="00D22745"/>
    <w:rsid w:val="00D23D04"/>
    <w:rsid w:val="00D266A3"/>
    <w:rsid w:val="00D266D2"/>
    <w:rsid w:val="00D267BA"/>
    <w:rsid w:val="00D315DA"/>
    <w:rsid w:val="00D32485"/>
    <w:rsid w:val="00D348F5"/>
    <w:rsid w:val="00D34955"/>
    <w:rsid w:val="00D3584F"/>
    <w:rsid w:val="00D364DC"/>
    <w:rsid w:val="00D365CB"/>
    <w:rsid w:val="00D4336A"/>
    <w:rsid w:val="00D44740"/>
    <w:rsid w:val="00D44B7A"/>
    <w:rsid w:val="00D461B3"/>
    <w:rsid w:val="00D469F3"/>
    <w:rsid w:val="00D47C50"/>
    <w:rsid w:val="00D5066C"/>
    <w:rsid w:val="00D50EBE"/>
    <w:rsid w:val="00D51A42"/>
    <w:rsid w:val="00D54D03"/>
    <w:rsid w:val="00D579F8"/>
    <w:rsid w:val="00D6082A"/>
    <w:rsid w:val="00D61DF1"/>
    <w:rsid w:val="00D623C9"/>
    <w:rsid w:val="00D637D4"/>
    <w:rsid w:val="00D67939"/>
    <w:rsid w:val="00D67A46"/>
    <w:rsid w:val="00D73D05"/>
    <w:rsid w:val="00D74D44"/>
    <w:rsid w:val="00D753C7"/>
    <w:rsid w:val="00D75814"/>
    <w:rsid w:val="00D75984"/>
    <w:rsid w:val="00D75EDE"/>
    <w:rsid w:val="00D76E58"/>
    <w:rsid w:val="00D811BE"/>
    <w:rsid w:val="00D84B64"/>
    <w:rsid w:val="00D85BE3"/>
    <w:rsid w:val="00D85F71"/>
    <w:rsid w:val="00D87275"/>
    <w:rsid w:val="00D91537"/>
    <w:rsid w:val="00D916EF"/>
    <w:rsid w:val="00D928AF"/>
    <w:rsid w:val="00D95A4B"/>
    <w:rsid w:val="00D9614F"/>
    <w:rsid w:val="00D979B9"/>
    <w:rsid w:val="00D97F09"/>
    <w:rsid w:val="00DA0071"/>
    <w:rsid w:val="00DA035F"/>
    <w:rsid w:val="00DA0D19"/>
    <w:rsid w:val="00DA152F"/>
    <w:rsid w:val="00DA236B"/>
    <w:rsid w:val="00DA29A8"/>
    <w:rsid w:val="00DA3797"/>
    <w:rsid w:val="00DA5D12"/>
    <w:rsid w:val="00DA5EE6"/>
    <w:rsid w:val="00DA6B48"/>
    <w:rsid w:val="00DB08E7"/>
    <w:rsid w:val="00DB0BF3"/>
    <w:rsid w:val="00DB1B7A"/>
    <w:rsid w:val="00DB21D0"/>
    <w:rsid w:val="00DB2DAE"/>
    <w:rsid w:val="00DB7CB5"/>
    <w:rsid w:val="00DC2C82"/>
    <w:rsid w:val="00DC3003"/>
    <w:rsid w:val="00DC3D40"/>
    <w:rsid w:val="00DC40D0"/>
    <w:rsid w:val="00DC4CE9"/>
    <w:rsid w:val="00DC51F8"/>
    <w:rsid w:val="00DC5E19"/>
    <w:rsid w:val="00DC6F39"/>
    <w:rsid w:val="00DD0334"/>
    <w:rsid w:val="00DD0380"/>
    <w:rsid w:val="00DD0C87"/>
    <w:rsid w:val="00DD5D74"/>
    <w:rsid w:val="00DD71EE"/>
    <w:rsid w:val="00DE332D"/>
    <w:rsid w:val="00DE3C2A"/>
    <w:rsid w:val="00DE4A0E"/>
    <w:rsid w:val="00DE5AC4"/>
    <w:rsid w:val="00DE7918"/>
    <w:rsid w:val="00DF2811"/>
    <w:rsid w:val="00DF3C1E"/>
    <w:rsid w:val="00DF5611"/>
    <w:rsid w:val="00E018C0"/>
    <w:rsid w:val="00E03344"/>
    <w:rsid w:val="00E03D2E"/>
    <w:rsid w:val="00E12D30"/>
    <w:rsid w:val="00E12D71"/>
    <w:rsid w:val="00E15CF2"/>
    <w:rsid w:val="00E20A7B"/>
    <w:rsid w:val="00E21372"/>
    <w:rsid w:val="00E22977"/>
    <w:rsid w:val="00E22C4E"/>
    <w:rsid w:val="00E230EA"/>
    <w:rsid w:val="00E24FE0"/>
    <w:rsid w:val="00E250E8"/>
    <w:rsid w:val="00E25247"/>
    <w:rsid w:val="00E27090"/>
    <w:rsid w:val="00E272C0"/>
    <w:rsid w:val="00E27A10"/>
    <w:rsid w:val="00E27A38"/>
    <w:rsid w:val="00E27E78"/>
    <w:rsid w:val="00E34932"/>
    <w:rsid w:val="00E34A03"/>
    <w:rsid w:val="00E350BA"/>
    <w:rsid w:val="00E35678"/>
    <w:rsid w:val="00E364BB"/>
    <w:rsid w:val="00E372B4"/>
    <w:rsid w:val="00E4039E"/>
    <w:rsid w:val="00E4044A"/>
    <w:rsid w:val="00E407CE"/>
    <w:rsid w:val="00E407ED"/>
    <w:rsid w:val="00E437D0"/>
    <w:rsid w:val="00E4433B"/>
    <w:rsid w:val="00E445A9"/>
    <w:rsid w:val="00E44B2C"/>
    <w:rsid w:val="00E4520C"/>
    <w:rsid w:val="00E4528E"/>
    <w:rsid w:val="00E46791"/>
    <w:rsid w:val="00E46AFE"/>
    <w:rsid w:val="00E46E76"/>
    <w:rsid w:val="00E479DF"/>
    <w:rsid w:val="00E50736"/>
    <w:rsid w:val="00E53B36"/>
    <w:rsid w:val="00E540CA"/>
    <w:rsid w:val="00E54BC5"/>
    <w:rsid w:val="00E551B3"/>
    <w:rsid w:val="00E56241"/>
    <w:rsid w:val="00E56F28"/>
    <w:rsid w:val="00E612BC"/>
    <w:rsid w:val="00E630CE"/>
    <w:rsid w:val="00E63327"/>
    <w:rsid w:val="00E65167"/>
    <w:rsid w:val="00E667CD"/>
    <w:rsid w:val="00E66964"/>
    <w:rsid w:val="00E66AED"/>
    <w:rsid w:val="00E67327"/>
    <w:rsid w:val="00E6769A"/>
    <w:rsid w:val="00E7581B"/>
    <w:rsid w:val="00E75D4E"/>
    <w:rsid w:val="00E76980"/>
    <w:rsid w:val="00E76DC5"/>
    <w:rsid w:val="00E80409"/>
    <w:rsid w:val="00E82F1A"/>
    <w:rsid w:val="00E8325E"/>
    <w:rsid w:val="00E84A42"/>
    <w:rsid w:val="00E8508A"/>
    <w:rsid w:val="00E87C36"/>
    <w:rsid w:val="00E90BBE"/>
    <w:rsid w:val="00E92632"/>
    <w:rsid w:val="00E95FE8"/>
    <w:rsid w:val="00E97448"/>
    <w:rsid w:val="00EA3D86"/>
    <w:rsid w:val="00EA4D9E"/>
    <w:rsid w:val="00EA4F14"/>
    <w:rsid w:val="00EB03EA"/>
    <w:rsid w:val="00EB043B"/>
    <w:rsid w:val="00EB0ACE"/>
    <w:rsid w:val="00EB2999"/>
    <w:rsid w:val="00EB3903"/>
    <w:rsid w:val="00EB40F8"/>
    <w:rsid w:val="00EB4329"/>
    <w:rsid w:val="00EB4CEB"/>
    <w:rsid w:val="00EB4FEF"/>
    <w:rsid w:val="00EB5A6B"/>
    <w:rsid w:val="00EB7116"/>
    <w:rsid w:val="00EB7396"/>
    <w:rsid w:val="00EC0399"/>
    <w:rsid w:val="00EC0A93"/>
    <w:rsid w:val="00EC6679"/>
    <w:rsid w:val="00ED17B2"/>
    <w:rsid w:val="00ED28DF"/>
    <w:rsid w:val="00ED385F"/>
    <w:rsid w:val="00EE0438"/>
    <w:rsid w:val="00EE22A7"/>
    <w:rsid w:val="00EE49FE"/>
    <w:rsid w:val="00EE6E38"/>
    <w:rsid w:val="00EE7524"/>
    <w:rsid w:val="00EE77DA"/>
    <w:rsid w:val="00EF0C5B"/>
    <w:rsid w:val="00EF1F00"/>
    <w:rsid w:val="00EF31AC"/>
    <w:rsid w:val="00EF57F4"/>
    <w:rsid w:val="00EF61E6"/>
    <w:rsid w:val="00EF71C1"/>
    <w:rsid w:val="00EF71D7"/>
    <w:rsid w:val="00F00207"/>
    <w:rsid w:val="00F011D8"/>
    <w:rsid w:val="00F03422"/>
    <w:rsid w:val="00F03770"/>
    <w:rsid w:val="00F0391B"/>
    <w:rsid w:val="00F119A5"/>
    <w:rsid w:val="00F1432F"/>
    <w:rsid w:val="00F17299"/>
    <w:rsid w:val="00F17D92"/>
    <w:rsid w:val="00F17E0B"/>
    <w:rsid w:val="00F201C2"/>
    <w:rsid w:val="00F22B70"/>
    <w:rsid w:val="00F2717F"/>
    <w:rsid w:val="00F271D4"/>
    <w:rsid w:val="00F339FA"/>
    <w:rsid w:val="00F34ACF"/>
    <w:rsid w:val="00F34AFA"/>
    <w:rsid w:val="00F34DCC"/>
    <w:rsid w:val="00F357C4"/>
    <w:rsid w:val="00F40F6A"/>
    <w:rsid w:val="00F42977"/>
    <w:rsid w:val="00F44DA3"/>
    <w:rsid w:val="00F46675"/>
    <w:rsid w:val="00F51167"/>
    <w:rsid w:val="00F515C8"/>
    <w:rsid w:val="00F53835"/>
    <w:rsid w:val="00F54476"/>
    <w:rsid w:val="00F56935"/>
    <w:rsid w:val="00F57857"/>
    <w:rsid w:val="00F57B33"/>
    <w:rsid w:val="00F62555"/>
    <w:rsid w:val="00F6292F"/>
    <w:rsid w:val="00F63EE5"/>
    <w:rsid w:val="00F6491B"/>
    <w:rsid w:val="00F65E3A"/>
    <w:rsid w:val="00F66323"/>
    <w:rsid w:val="00F7390A"/>
    <w:rsid w:val="00F806A5"/>
    <w:rsid w:val="00F81638"/>
    <w:rsid w:val="00F81F70"/>
    <w:rsid w:val="00F82965"/>
    <w:rsid w:val="00F83B4E"/>
    <w:rsid w:val="00F91372"/>
    <w:rsid w:val="00F92AF8"/>
    <w:rsid w:val="00F94F36"/>
    <w:rsid w:val="00F94F77"/>
    <w:rsid w:val="00F9566F"/>
    <w:rsid w:val="00F958B7"/>
    <w:rsid w:val="00F95A1F"/>
    <w:rsid w:val="00F96314"/>
    <w:rsid w:val="00F97B84"/>
    <w:rsid w:val="00FA0F75"/>
    <w:rsid w:val="00FA5E89"/>
    <w:rsid w:val="00FA6E1D"/>
    <w:rsid w:val="00FB1DE4"/>
    <w:rsid w:val="00FB29B1"/>
    <w:rsid w:val="00FB6169"/>
    <w:rsid w:val="00FB7566"/>
    <w:rsid w:val="00FB7988"/>
    <w:rsid w:val="00FB7E13"/>
    <w:rsid w:val="00FC10BE"/>
    <w:rsid w:val="00FC5408"/>
    <w:rsid w:val="00FC5F49"/>
    <w:rsid w:val="00FC6BF2"/>
    <w:rsid w:val="00FC6FB8"/>
    <w:rsid w:val="00FD0253"/>
    <w:rsid w:val="00FD073F"/>
    <w:rsid w:val="00FD30BC"/>
    <w:rsid w:val="00FD3ECA"/>
    <w:rsid w:val="00FD569B"/>
    <w:rsid w:val="00FD783D"/>
    <w:rsid w:val="00FD7D60"/>
    <w:rsid w:val="00FD7FE4"/>
    <w:rsid w:val="00FE014C"/>
    <w:rsid w:val="00FE02C2"/>
    <w:rsid w:val="00FE1E6D"/>
    <w:rsid w:val="00FE2831"/>
    <w:rsid w:val="00FE35BC"/>
    <w:rsid w:val="00FE39D3"/>
    <w:rsid w:val="00FE43C9"/>
    <w:rsid w:val="00FE5900"/>
    <w:rsid w:val="00FE6478"/>
    <w:rsid w:val="00FE6AB9"/>
    <w:rsid w:val="00FE6CFC"/>
    <w:rsid w:val="00FE6F35"/>
    <w:rsid w:val="00FF0B99"/>
    <w:rsid w:val="00FF15C8"/>
    <w:rsid w:val="00FF209E"/>
    <w:rsid w:val="00FF4C46"/>
    <w:rsid w:val="00FF72F2"/>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1C96370"/>
  <w15:docId w15:val="{887B962C-F2FD-4A1F-A0E8-5505B077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42E"/>
    <w:pPr>
      <w:spacing w:after="240"/>
    </w:pPr>
    <w:rPr>
      <w:sz w:val="24"/>
      <w:szCs w:val="24"/>
    </w:rPr>
  </w:style>
  <w:style w:type="paragraph" w:styleId="Heading1">
    <w:name w:val="heading 1"/>
    <w:basedOn w:val="Normal"/>
    <w:next w:val="Normal"/>
    <w:link w:val="Heading1Char"/>
    <w:uiPriority w:val="99"/>
    <w:qFormat/>
    <w:rsid w:val="0048652C"/>
    <w:pPr>
      <w:keepNext/>
      <w:numPr>
        <w:numId w:val="1"/>
      </w:numPr>
      <w:spacing w:before="240" w:after="60"/>
      <w:outlineLvl w:val="0"/>
    </w:pPr>
    <w:rPr>
      <w:b/>
      <w:bCs/>
      <w:kern w:val="32"/>
      <w:sz w:val="32"/>
      <w:szCs w:val="32"/>
    </w:rPr>
  </w:style>
  <w:style w:type="paragraph" w:styleId="Heading2">
    <w:name w:val="heading 2"/>
    <w:basedOn w:val="Normal"/>
    <w:next w:val="Normal"/>
    <w:link w:val="Heading2Char"/>
    <w:uiPriority w:val="99"/>
    <w:qFormat/>
    <w:rsid w:val="00262AB9"/>
    <w:pPr>
      <w:keepNext/>
      <w:tabs>
        <w:tab w:val="num" w:pos="576"/>
      </w:tabs>
      <w:spacing w:before="240" w:after="0"/>
      <w:ind w:left="576" w:hanging="576"/>
      <w:outlineLvl w:val="1"/>
    </w:pPr>
    <w:rPr>
      <w:b/>
      <w:bCs/>
      <w:iCs/>
      <w:sz w:val="28"/>
      <w:szCs w:val="28"/>
    </w:rPr>
  </w:style>
  <w:style w:type="paragraph" w:styleId="Heading3">
    <w:name w:val="heading 3"/>
    <w:basedOn w:val="Normal"/>
    <w:next w:val="Normal"/>
    <w:link w:val="Heading3Char"/>
    <w:uiPriority w:val="99"/>
    <w:qFormat/>
    <w:rsid w:val="007D0393"/>
    <w:pPr>
      <w:keepNext/>
      <w:tabs>
        <w:tab w:val="num" w:pos="720"/>
      </w:tabs>
      <w:spacing w:before="240" w:after="60"/>
      <w:ind w:left="720" w:hanging="720"/>
      <w:outlineLvl w:val="2"/>
    </w:pPr>
    <w:rPr>
      <w:rFonts w:ascii="Arial" w:hAnsi="Arial"/>
      <w:b/>
    </w:rPr>
  </w:style>
  <w:style w:type="paragraph" w:styleId="Heading4">
    <w:name w:val="heading 4"/>
    <w:basedOn w:val="Normal"/>
    <w:next w:val="Normal"/>
    <w:link w:val="Heading4Char"/>
    <w:uiPriority w:val="99"/>
    <w:qFormat/>
    <w:rsid w:val="007D0393"/>
    <w:pPr>
      <w:keepNext/>
      <w:tabs>
        <w:tab w:val="num" w:pos="864"/>
      </w:tabs>
      <w:spacing w:before="240" w:after="60"/>
      <w:ind w:left="864" w:hanging="864"/>
      <w:outlineLvl w:val="3"/>
    </w:pPr>
    <w:rPr>
      <w:rFonts w:ascii="Arial" w:hAnsi="Arial"/>
      <w:b/>
      <w:i/>
    </w:rPr>
  </w:style>
  <w:style w:type="paragraph" w:styleId="Heading5">
    <w:name w:val="heading 5"/>
    <w:basedOn w:val="Normal"/>
    <w:next w:val="Normal"/>
    <w:link w:val="Heading5Char"/>
    <w:uiPriority w:val="99"/>
    <w:qFormat/>
    <w:rsid w:val="007D0393"/>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uiPriority w:val="99"/>
    <w:qFormat/>
    <w:rsid w:val="007D0393"/>
    <w:pPr>
      <w:tabs>
        <w:tab w:val="num" w:pos="1152"/>
      </w:tabs>
      <w:spacing w:before="240" w:after="60"/>
      <w:ind w:left="1152" w:hanging="1152"/>
      <w:outlineLvl w:val="5"/>
    </w:pPr>
    <w:rPr>
      <w:b/>
      <w:bCs/>
      <w:sz w:val="20"/>
      <w:szCs w:val="20"/>
    </w:rPr>
  </w:style>
  <w:style w:type="paragraph" w:styleId="Heading7">
    <w:name w:val="heading 7"/>
    <w:basedOn w:val="Normal"/>
    <w:next w:val="Normal"/>
    <w:link w:val="Heading7Char"/>
    <w:uiPriority w:val="99"/>
    <w:qFormat/>
    <w:rsid w:val="007D0393"/>
    <w:pPr>
      <w:tabs>
        <w:tab w:val="num" w:pos="1296"/>
      </w:tabs>
      <w:spacing w:before="240" w:after="60"/>
      <w:ind w:left="1296" w:hanging="1296"/>
      <w:outlineLvl w:val="6"/>
    </w:pPr>
  </w:style>
  <w:style w:type="paragraph" w:styleId="Heading8">
    <w:name w:val="heading 8"/>
    <w:basedOn w:val="Normal"/>
    <w:next w:val="Normal"/>
    <w:link w:val="Heading8Char"/>
    <w:uiPriority w:val="99"/>
    <w:qFormat/>
    <w:rsid w:val="007D0393"/>
    <w:pPr>
      <w:tabs>
        <w:tab w:val="num" w:pos="1440"/>
      </w:tabs>
      <w:spacing w:before="240" w:after="60"/>
      <w:ind w:left="1440" w:hanging="1440"/>
      <w:outlineLvl w:val="7"/>
    </w:pPr>
    <w:rPr>
      <w:i/>
      <w:iCs/>
    </w:rPr>
  </w:style>
  <w:style w:type="paragraph" w:styleId="Heading9">
    <w:name w:val="heading 9"/>
    <w:basedOn w:val="Normal"/>
    <w:next w:val="Normal"/>
    <w:link w:val="Heading9Char"/>
    <w:uiPriority w:val="99"/>
    <w:qFormat/>
    <w:rsid w:val="007D0393"/>
    <w:pPr>
      <w:tabs>
        <w:tab w:val="num" w:pos="1584"/>
      </w:tabs>
      <w:spacing w:before="240" w:after="60"/>
      <w:ind w:left="1584" w:hanging="1584"/>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652C"/>
    <w:rPr>
      <w:b/>
      <w:bCs/>
      <w:kern w:val="32"/>
      <w:sz w:val="32"/>
      <w:szCs w:val="32"/>
    </w:rPr>
  </w:style>
  <w:style w:type="character" w:customStyle="1" w:styleId="Heading2Char">
    <w:name w:val="Heading 2 Char"/>
    <w:basedOn w:val="DefaultParagraphFont"/>
    <w:link w:val="Heading2"/>
    <w:uiPriority w:val="99"/>
    <w:locked/>
    <w:rsid w:val="002A21A2"/>
    <w:rPr>
      <w:rFonts w:cs="Times New Roman"/>
      <w:b/>
      <w:sz w:val="28"/>
    </w:rPr>
  </w:style>
  <w:style w:type="character" w:customStyle="1" w:styleId="Heading3Char">
    <w:name w:val="Heading 3 Char"/>
    <w:basedOn w:val="DefaultParagraphFont"/>
    <w:link w:val="Heading3"/>
    <w:uiPriority w:val="99"/>
    <w:locked/>
    <w:rsid w:val="002A21A2"/>
    <w:rPr>
      <w:rFonts w:ascii="Arial" w:hAnsi="Arial" w:cs="Times New Roman"/>
      <w:b/>
      <w:sz w:val="24"/>
    </w:rPr>
  </w:style>
  <w:style w:type="character" w:customStyle="1" w:styleId="Heading4Char">
    <w:name w:val="Heading 4 Char"/>
    <w:basedOn w:val="DefaultParagraphFont"/>
    <w:link w:val="Heading4"/>
    <w:uiPriority w:val="99"/>
    <w:locked/>
    <w:rsid w:val="002A21A2"/>
    <w:rPr>
      <w:rFonts w:ascii="Arial" w:hAnsi="Arial" w:cs="Times New Roman"/>
      <w:b/>
      <w:i/>
      <w:sz w:val="24"/>
    </w:rPr>
  </w:style>
  <w:style w:type="character" w:customStyle="1" w:styleId="Heading5Char">
    <w:name w:val="Heading 5 Char"/>
    <w:basedOn w:val="DefaultParagraphFont"/>
    <w:link w:val="Heading5"/>
    <w:uiPriority w:val="99"/>
    <w:locked/>
    <w:rsid w:val="002A21A2"/>
    <w:rPr>
      <w:rFonts w:cs="Times New Roman"/>
      <w:b/>
      <w:i/>
      <w:sz w:val="26"/>
    </w:rPr>
  </w:style>
  <w:style w:type="character" w:customStyle="1" w:styleId="Heading6Char">
    <w:name w:val="Heading 6 Char"/>
    <w:basedOn w:val="DefaultParagraphFont"/>
    <w:link w:val="Heading6"/>
    <w:uiPriority w:val="99"/>
    <w:locked/>
    <w:rsid w:val="002A21A2"/>
    <w:rPr>
      <w:rFonts w:cs="Times New Roman"/>
      <w:b/>
    </w:rPr>
  </w:style>
  <w:style w:type="character" w:customStyle="1" w:styleId="Heading7Char">
    <w:name w:val="Heading 7 Char"/>
    <w:basedOn w:val="DefaultParagraphFont"/>
    <w:link w:val="Heading7"/>
    <w:uiPriority w:val="99"/>
    <w:locked/>
    <w:rsid w:val="002A21A2"/>
    <w:rPr>
      <w:rFonts w:cs="Times New Roman"/>
      <w:sz w:val="24"/>
    </w:rPr>
  </w:style>
  <w:style w:type="character" w:customStyle="1" w:styleId="Heading8Char">
    <w:name w:val="Heading 8 Char"/>
    <w:basedOn w:val="DefaultParagraphFont"/>
    <w:link w:val="Heading8"/>
    <w:uiPriority w:val="99"/>
    <w:locked/>
    <w:rsid w:val="002A21A2"/>
    <w:rPr>
      <w:rFonts w:cs="Times New Roman"/>
      <w:i/>
      <w:sz w:val="24"/>
    </w:rPr>
  </w:style>
  <w:style w:type="character" w:customStyle="1" w:styleId="Heading9Char">
    <w:name w:val="Heading 9 Char"/>
    <w:basedOn w:val="DefaultParagraphFont"/>
    <w:link w:val="Heading9"/>
    <w:uiPriority w:val="99"/>
    <w:locked/>
    <w:rsid w:val="002A21A2"/>
    <w:rPr>
      <w:rFonts w:ascii="Arial" w:hAnsi="Arial" w:cs="Times New Roman"/>
    </w:rPr>
  </w:style>
  <w:style w:type="character" w:styleId="PageNumber">
    <w:name w:val="page number"/>
    <w:basedOn w:val="DefaultParagraphFont"/>
    <w:uiPriority w:val="99"/>
    <w:rsid w:val="007D0393"/>
    <w:rPr>
      <w:rFonts w:cs="Times New Roman"/>
    </w:rPr>
  </w:style>
  <w:style w:type="paragraph" w:styleId="Footer">
    <w:name w:val="footer"/>
    <w:basedOn w:val="Normal"/>
    <w:link w:val="FooterChar"/>
    <w:uiPriority w:val="99"/>
    <w:rsid w:val="007D0393"/>
    <w:pPr>
      <w:tabs>
        <w:tab w:val="center" w:pos="4320"/>
        <w:tab w:val="right" w:pos="8640"/>
      </w:tabs>
    </w:pPr>
  </w:style>
  <w:style w:type="character" w:customStyle="1" w:styleId="FooterChar">
    <w:name w:val="Footer Char"/>
    <w:basedOn w:val="DefaultParagraphFont"/>
    <w:link w:val="Footer"/>
    <w:uiPriority w:val="99"/>
    <w:semiHidden/>
    <w:locked/>
    <w:rsid w:val="002A21A2"/>
    <w:rPr>
      <w:rFonts w:cs="Times New Roman"/>
      <w:sz w:val="24"/>
    </w:rPr>
  </w:style>
  <w:style w:type="paragraph" w:styleId="Header">
    <w:name w:val="header"/>
    <w:basedOn w:val="Normal"/>
    <w:link w:val="HeaderChar"/>
    <w:uiPriority w:val="99"/>
    <w:rsid w:val="007D0393"/>
    <w:pPr>
      <w:tabs>
        <w:tab w:val="center" w:pos="4320"/>
        <w:tab w:val="right" w:pos="8640"/>
      </w:tabs>
    </w:pPr>
  </w:style>
  <w:style w:type="character" w:customStyle="1" w:styleId="HeaderChar">
    <w:name w:val="Header Char"/>
    <w:basedOn w:val="DefaultParagraphFont"/>
    <w:link w:val="Header"/>
    <w:uiPriority w:val="99"/>
    <w:locked/>
    <w:rsid w:val="00494B77"/>
    <w:rPr>
      <w:rFonts w:cs="Times New Roman"/>
      <w:sz w:val="24"/>
    </w:rPr>
  </w:style>
  <w:style w:type="paragraph" w:styleId="DocumentMap">
    <w:name w:val="Document Map"/>
    <w:basedOn w:val="Normal"/>
    <w:link w:val="DocumentMapChar"/>
    <w:uiPriority w:val="99"/>
    <w:semiHidden/>
    <w:rsid w:val="007D0393"/>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2A21A2"/>
    <w:rPr>
      <w:rFonts w:cs="Times New Roman"/>
      <w:sz w:val="2"/>
    </w:rPr>
  </w:style>
  <w:style w:type="paragraph" w:styleId="BodyText">
    <w:name w:val="Body Text"/>
    <w:basedOn w:val="Normal"/>
    <w:link w:val="BodyTextChar"/>
    <w:uiPriority w:val="99"/>
    <w:rsid w:val="007D0393"/>
    <w:pPr>
      <w:autoSpaceDE w:val="0"/>
      <w:autoSpaceDN w:val="0"/>
      <w:adjustRightInd w:val="0"/>
      <w:spacing w:after="0"/>
    </w:pPr>
  </w:style>
  <w:style w:type="character" w:customStyle="1" w:styleId="BodyTextChar">
    <w:name w:val="Body Text Char"/>
    <w:basedOn w:val="DefaultParagraphFont"/>
    <w:link w:val="BodyText"/>
    <w:uiPriority w:val="99"/>
    <w:semiHidden/>
    <w:locked/>
    <w:rsid w:val="002A21A2"/>
    <w:rPr>
      <w:rFonts w:cs="Times New Roman"/>
      <w:sz w:val="24"/>
    </w:rPr>
  </w:style>
  <w:style w:type="paragraph" w:styleId="BodyTextIndent3">
    <w:name w:val="Body Text Indent 3"/>
    <w:basedOn w:val="Normal"/>
    <w:link w:val="BodyTextIndent3Char"/>
    <w:uiPriority w:val="99"/>
    <w:rsid w:val="007D0393"/>
    <w:pPr>
      <w:tabs>
        <w:tab w:val="left" w:pos="1260"/>
      </w:tabs>
      <w:ind w:left="720"/>
    </w:pPr>
    <w:rPr>
      <w:sz w:val="16"/>
      <w:szCs w:val="16"/>
    </w:rPr>
  </w:style>
  <w:style w:type="character" w:customStyle="1" w:styleId="BodyTextIndent3Char">
    <w:name w:val="Body Text Indent 3 Char"/>
    <w:basedOn w:val="DefaultParagraphFont"/>
    <w:link w:val="BodyTextIndent3"/>
    <w:uiPriority w:val="99"/>
    <w:semiHidden/>
    <w:locked/>
    <w:rsid w:val="002A21A2"/>
    <w:rPr>
      <w:rFonts w:cs="Times New Roman"/>
      <w:sz w:val="16"/>
    </w:rPr>
  </w:style>
  <w:style w:type="paragraph" w:customStyle="1" w:styleId="Heading40">
    <w:name w:val="Heading4"/>
    <w:basedOn w:val="Normal"/>
    <w:uiPriority w:val="99"/>
    <w:rsid w:val="007D0393"/>
    <w:pPr>
      <w:suppressAutoHyphens/>
      <w:spacing w:after="0"/>
    </w:pPr>
    <w:rPr>
      <w:rFonts w:ascii="Arial" w:hAnsi="Arial"/>
      <w:szCs w:val="20"/>
    </w:rPr>
  </w:style>
  <w:style w:type="paragraph" w:styleId="BodyTextIndent">
    <w:name w:val="Body Text Indent"/>
    <w:basedOn w:val="Normal"/>
    <w:link w:val="BodyTextIndentChar"/>
    <w:uiPriority w:val="99"/>
    <w:rsid w:val="007D0393"/>
    <w:pPr>
      <w:suppressAutoHyphens/>
      <w:spacing w:after="0"/>
      <w:ind w:left="360" w:firstLine="1"/>
    </w:pPr>
  </w:style>
  <w:style w:type="character" w:customStyle="1" w:styleId="BodyTextIndentChar">
    <w:name w:val="Body Text Indent Char"/>
    <w:basedOn w:val="DefaultParagraphFont"/>
    <w:link w:val="BodyTextIndent"/>
    <w:uiPriority w:val="99"/>
    <w:semiHidden/>
    <w:locked/>
    <w:rsid w:val="002A21A2"/>
    <w:rPr>
      <w:rFonts w:cs="Times New Roman"/>
      <w:sz w:val="24"/>
    </w:rPr>
  </w:style>
  <w:style w:type="paragraph" w:styleId="BodyText2">
    <w:name w:val="Body Text 2"/>
    <w:basedOn w:val="Normal"/>
    <w:link w:val="BodyText2Char"/>
    <w:uiPriority w:val="99"/>
    <w:rsid w:val="007D0393"/>
    <w:pPr>
      <w:autoSpaceDE w:val="0"/>
      <w:autoSpaceDN w:val="0"/>
      <w:adjustRightInd w:val="0"/>
    </w:pPr>
  </w:style>
  <w:style w:type="character" w:customStyle="1" w:styleId="BodyText2Char">
    <w:name w:val="Body Text 2 Char"/>
    <w:basedOn w:val="DefaultParagraphFont"/>
    <w:link w:val="BodyText2"/>
    <w:uiPriority w:val="99"/>
    <w:semiHidden/>
    <w:locked/>
    <w:rsid w:val="002A21A2"/>
    <w:rPr>
      <w:rFonts w:cs="Times New Roman"/>
      <w:sz w:val="24"/>
    </w:rPr>
  </w:style>
  <w:style w:type="paragraph" w:styleId="BodyText3">
    <w:name w:val="Body Text 3"/>
    <w:basedOn w:val="Normal"/>
    <w:link w:val="BodyText3Char"/>
    <w:uiPriority w:val="99"/>
    <w:rsid w:val="007D0393"/>
    <w:pPr>
      <w:autoSpaceDE w:val="0"/>
      <w:autoSpaceDN w:val="0"/>
      <w:adjustRightInd w:val="0"/>
    </w:pPr>
    <w:rPr>
      <w:sz w:val="16"/>
      <w:szCs w:val="16"/>
    </w:rPr>
  </w:style>
  <w:style w:type="character" w:customStyle="1" w:styleId="BodyText3Char">
    <w:name w:val="Body Text 3 Char"/>
    <w:basedOn w:val="DefaultParagraphFont"/>
    <w:link w:val="BodyText3"/>
    <w:uiPriority w:val="99"/>
    <w:semiHidden/>
    <w:locked/>
    <w:rsid w:val="002A21A2"/>
    <w:rPr>
      <w:rFonts w:cs="Times New Roman"/>
      <w:sz w:val="16"/>
    </w:rPr>
  </w:style>
  <w:style w:type="paragraph" w:styleId="BodyTextIndent2">
    <w:name w:val="Body Text Indent 2"/>
    <w:basedOn w:val="Normal"/>
    <w:link w:val="BodyTextIndent2Char"/>
    <w:uiPriority w:val="99"/>
    <w:rsid w:val="007D0393"/>
    <w:pPr>
      <w:ind w:left="360"/>
    </w:pPr>
  </w:style>
  <w:style w:type="character" w:customStyle="1" w:styleId="BodyTextIndent2Char">
    <w:name w:val="Body Text Indent 2 Char"/>
    <w:basedOn w:val="DefaultParagraphFont"/>
    <w:link w:val="BodyTextIndent2"/>
    <w:uiPriority w:val="99"/>
    <w:semiHidden/>
    <w:locked/>
    <w:rsid w:val="002A21A2"/>
    <w:rPr>
      <w:rFonts w:cs="Times New Roman"/>
      <w:sz w:val="24"/>
    </w:rPr>
  </w:style>
  <w:style w:type="paragraph" w:customStyle="1" w:styleId="CindyComments">
    <w:name w:val="Cindy Comments"/>
    <w:basedOn w:val="Normal"/>
    <w:next w:val="Normal"/>
    <w:uiPriority w:val="99"/>
    <w:rsid w:val="007D0393"/>
    <w:rPr>
      <w:rFonts w:ascii="Arial" w:hAnsi="Arial"/>
      <w:i/>
      <w:u w:val="single"/>
    </w:rPr>
  </w:style>
  <w:style w:type="character" w:styleId="CommentReference">
    <w:name w:val="annotation reference"/>
    <w:basedOn w:val="DefaultParagraphFont"/>
    <w:uiPriority w:val="99"/>
    <w:rsid w:val="007D0393"/>
    <w:rPr>
      <w:rFonts w:cs="Times New Roman"/>
      <w:sz w:val="16"/>
    </w:rPr>
  </w:style>
  <w:style w:type="paragraph" w:styleId="CommentText">
    <w:name w:val="annotation text"/>
    <w:basedOn w:val="Normal"/>
    <w:link w:val="CommentTextChar"/>
    <w:uiPriority w:val="99"/>
    <w:rsid w:val="007D0393"/>
    <w:rPr>
      <w:sz w:val="20"/>
      <w:szCs w:val="20"/>
    </w:rPr>
  </w:style>
  <w:style w:type="character" w:customStyle="1" w:styleId="CommentTextChar">
    <w:name w:val="Comment Text Char"/>
    <w:basedOn w:val="DefaultParagraphFont"/>
    <w:link w:val="CommentText"/>
    <w:uiPriority w:val="99"/>
    <w:locked/>
    <w:rsid w:val="002A21A2"/>
    <w:rPr>
      <w:rFonts w:cs="Times New Roman"/>
      <w:sz w:val="20"/>
    </w:rPr>
  </w:style>
  <w:style w:type="character" w:styleId="FootnoteReference">
    <w:name w:val="footnote reference"/>
    <w:basedOn w:val="DefaultParagraphFont"/>
    <w:uiPriority w:val="99"/>
    <w:rsid w:val="007D0393"/>
    <w:rPr>
      <w:rFonts w:cs="Times New Roman"/>
      <w:vertAlign w:val="superscript"/>
    </w:rPr>
  </w:style>
  <w:style w:type="paragraph" w:styleId="FootnoteText">
    <w:name w:val="footnote text"/>
    <w:basedOn w:val="Normal"/>
    <w:link w:val="FootnoteTextChar"/>
    <w:uiPriority w:val="99"/>
    <w:rsid w:val="007D0393"/>
    <w:pPr>
      <w:spacing w:after="0"/>
    </w:pPr>
    <w:rPr>
      <w:sz w:val="20"/>
      <w:szCs w:val="20"/>
    </w:rPr>
  </w:style>
  <w:style w:type="character" w:customStyle="1" w:styleId="FootnoteTextChar">
    <w:name w:val="Footnote Text Char"/>
    <w:basedOn w:val="DefaultParagraphFont"/>
    <w:link w:val="FootnoteText"/>
    <w:uiPriority w:val="99"/>
    <w:locked/>
    <w:rsid w:val="002A21A2"/>
    <w:rPr>
      <w:rFonts w:cs="Times New Roman"/>
      <w:sz w:val="20"/>
    </w:rPr>
  </w:style>
  <w:style w:type="character" w:styleId="Hyperlink">
    <w:name w:val="Hyperlink"/>
    <w:basedOn w:val="DefaultParagraphFont"/>
    <w:uiPriority w:val="99"/>
    <w:rsid w:val="007D0393"/>
    <w:rPr>
      <w:rFonts w:cs="Times New Roman"/>
      <w:color w:val="0000FF"/>
      <w:u w:val="single"/>
    </w:rPr>
  </w:style>
  <w:style w:type="paragraph" w:customStyle="1" w:styleId="SuzanneComments">
    <w:name w:val="Suzanne Comments"/>
    <w:basedOn w:val="CindyComments"/>
    <w:uiPriority w:val="99"/>
    <w:rsid w:val="007D0393"/>
    <w:rPr>
      <w:rFonts w:ascii="Courier New" w:hAnsi="Courier New"/>
      <w:b/>
      <w:i w:val="0"/>
      <w:u w:val="double"/>
    </w:rPr>
  </w:style>
  <w:style w:type="paragraph" w:styleId="Title">
    <w:name w:val="Title"/>
    <w:basedOn w:val="Normal"/>
    <w:link w:val="TitleChar"/>
    <w:uiPriority w:val="99"/>
    <w:qFormat/>
    <w:rsid w:val="007D0393"/>
    <w:pPr>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2A21A2"/>
    <w:rPr>
      <w:rFonts w:ascii="Cambria" w:hAnsi="Cambria" w:cs="Times New Roman"/>
      <w:b/>
      <w:kern w:val="28"/>
      <w:sz w:val="32"/>
    </w:rPr>
  </w:style>
  <w:style w:type="paragraph" w:styleId="TOC1">
    <w:name w:val="toc 1"/>
    <w:basedOn w:val="Normal"/>
    <w:next w:val="Normal"/>
    <w:autoRedefine/>
    <w:uiPriority w:val="39"/>
    <w:rsid w:val="007D0393"/>
    <w:pPr>
      <w:tabs>
        <w:tab w:val="left" w:pos="720"/>
        <w:tab w:val="left" w:pos="1440"/>
        <w:tab w:val="right" w:leader="dot" w:pos="9360"/>
      </w:tabs>
      <w:spacing w:before="120" w:after="0"/>
      <w:ind w:left="720" w:hanging="720"/>
    </w:pPr>
    <w:rPr>
      <w:b/>
      <w:noProof/>
    </w:rPr>
  </w:style>
  <w:style w:type="paragraph" w:styleId="TOC2">
    <w:name w:val="toc 2"/>
    <w:basedOn w:val="Normal"/>
    <w:next w:val="Normal"/>
    <w:autoRedefine/>
    <w:uiPriority w:val="39"/>
    <w:rsid w:val="007D0393"/>
    <w:pPr>
      <w:tabs>
        <w:tab w:val="left" w:pos="1620"/>
        <w:tab w:val="right" w:leader="dot" w:pos="9360"/>
      </w:tabs>
      <w:spacing w:after="0"/>
      <w:ind w:left="1620" w:hanging="900"/>
    </w:pPr>
    <w:rPr>
      <w:noProof/>
    </w:rPr>
  </w:style>
  <w:style w:type="paragraph" w:styleId="TOC3">
    <w:name w:val="toc 3"/>
    <w:basedOn w:val="Normal"/>
    <w:next w:val="Normal"/>
    <w:autoRedefine/>
    <w:uiPriority w:val="99"/>
    <w:rsid w:val="007D0393"/>
    <w:pPr>
      <w:tabs>
        <w:tab w:val="left" w:pos="1620"/>
        <w:tab w:val="right" w:leader="dot" w:pos="9360"/>
      </w:tabs>
      <w:spacing w:after="0"/>
      <w:ind w:left="1620" w:hanging="900"/>
    </w:pPr>
    <w:rPr>
      <w:noProof/>
    </w:rPr>
  </w:style>
  <w:style w:type="paragraph" w:styleId="TOC4">
    <w:name w:val="toc 4"/>
    <w:basedOn w:val="Normal"/>
    <w:next w:val="Normal"/>
    <w:autoRedefine/>
    <w:uiPriority w:val="99"/>
    <w:semiHidden/>
    <w:rsid w:val="007D0393"/>
    <w:pPr>
      <w:tabs>
        <w:tab w:val="left" w:pos="1627"/>
        <w:tab w:val="right" w:leader="dot" w:pos="9360"/>
      </w:tabs>
      <w:spacing w:after="0"/>
      <w:ind w:left="1627" w:hanging="907"/>
    </w:pPr>
    <w:rPr>
      <w:noProof/>
    </w:rPr>
  </w:style>
  <w:style w:type="paragraph" w:styleId="TOC5">
    <w:name w:val="toc 5"/>
    <w:basedOn w:val="Normal"/>
    <w:next w:val="Normal"/>
    <w:autoRedefine/>
    <w:uiPriority w:val="99"/>
    <w:semiHidden/>
    <w:rsid w:val="007D0393"/>
    <w:pPr>
      <w:ind w:left="960"/>
    </w:pPr>
  </w:style>
  <w:style w:type="paragraph" w:styleId="TOC6">
    <w:name w:val="toc 6"/>
    <w:basedOn w:val="Normal"/>
    <w:next w:val="Normal"/>
    <w:autoRedefine/>
    <w:uiPriority w:val="99"/>
    <w:semiHidden/>
    <w:rsid w:val="007D0393"/>
    <w:pPr>
      <w:ind w:left="1200"/>
    </w:pPr>
  </w:style>
  <w:style w:type="paragraph" w:styleId="TOC7">
    <w:name w:val="toc 7"/>
    <w:basedOn w:val="Normal"/>
    <w:next w:val="Normal"/>
    <w:autoRedefine/>
    <w:uiPriority w:val="99"/>
    <w:semiHidden/>
    <w:rsid w:val="007D0393"/>
    <w:pPr>
      <w:ind w:left="1440"/>
    </w:pPr>
  </w:style>
  <w:style w:type="paragraph" w:styleId="TOC8">
    <w:name w:val="toc 8"/>
    <w:basedOn w:val="Normal"/>
    <w:next w:val="Normal"/>
    <w:autoRedefine/>
    <w:uiPriority w:val="99"/>
    <w:semiHidden/>
    <w:rsid w:val="007D0393"/>
    <w:pPr>
      <w:ind w:left="1680"/>
    </w:pPr>
  </w:style>
  <w:style w:type="paragraph" w:styleId="TOC9">
    <w:name w:val="toc 9"/>
    <w:basedOn w:val="Normal"/>
    <w:next w:val="Normal"/>
    <w:autoRedefine/>
    <w:uiPriority w:val="99"/>
    <w:semiHidden/>
    <w:rsid w:val="007D0393"/>
    <w:pPr>
      <w:ind w:left="1920"/>
    </w:pPr>
  </w:style>
  <w:style w:type="paragraph" w:styleId="BlockText">
    <w:name w:val="Block Text"/>
    <w:basedOn w:val="Normal"/>
    <w:uiPriority w:val="99"/>
    <w:rsid w:val="007D0393"/>
    <w:pPr>
      <w:spacing w:after="120"/>
      <w:ind w:left="1440" w:right="1440"/>
    </w:pPr>
  </w:style>
  <w:style w:type="paragraph" w:styleId="BodyTextFirstIndent">
    <w:name w:val="Body Text First Indent"/>
    <w:basedOn w:val="BodyText"/>
    <w:link w:val="BodyTextFirstIndentChar"/>
    <w:uiPriority w:val="99"/>
    <w:rsid w:val="007D0393"/>
    <w:pPr>
      <w:autoSpaceDE/>
      <w:autoSpaceDN/>
      <w:adjustRightInd/>
      <w:spacing w:after="120"/>
      <w:ind w:firstLine="210"/>
    </w:pPr>
  </w:style>
  <w:style w:type="character" w:customStyle="1" w:styleId="BodyTextFirstIndentChar">
    <w:name w:val="Body Text First Indent Char"/>
    <w:basedOn w:val="BodyTextChar"/>
    <w:link w:val="BodyTextFirstIndent"/>
    <w:uiPriority w:val="99"/>
    <w:semiHidden/>
    <w:locked/>
    <w:rsid w:val="002A21A2"/>
    <w:rPr>
      <w:rFonts w:cs="Times New Roman"/>
      <w:sz w:val="24"/>
      <w:szCs w:val="24"/>
    </w:rPr>
  </w:style>
  <w:style w:type="paragraph" w:styleId="BodyTextFirstIndent2">
    <w:name w:val="Body Text First Indent 2"/>
    <w:basedOn w:val="BodyTextIndent"/>
    <w:link w:val="BodyTextFirstIndent2Char"/>
    <w:uiPriority w:val="99"/>
    <w:rsid w:val="007D0393"/>
    <w:pPr>
      <w:suppressAutoHyphens w:val="0"/>
      <w:spacing w:after="120"/>
      <w:ind w:firstLine="210"/>
    </w:pPr>
  </w:style>
  <w:style w:type="character" w:customStyle="1" w:styleId="BodyTextFirstIndent2Char">
    <w:name w:val="Body Text First Indent 2 Char"/>
    <w:basedOn w:val="BodyTextIndentChar"/>
    <w:link w:val="BodyTextFirstIndent2"/>
    <w:uiPriority w:val="99"/>
    <w:semiHidden/>
    <w:locked/>
    <w:rsid w:val="002A21A2"/>
    <w:rPr>
      <w:rFonts w:cs="Times New Roman"/>
      <w:sz w:val="24"/>
      <w:szCs w:val="24"/>
    </w:rPr>
  </w:style>
  <w:style w:type="paragraph" w:styleId="Caption">
    <w:name w:val="caption"/>
    <w:basedOn w:val="Normal"/>
    <w:next w:val="Normal"/>
    <w:uiPriority w:val="35"/>
    <w:qFormat/>
    <w:rsid w:val="007D0393"/>
    <w:pPr>
      <w:spacing w:before="120" w:after="120"/>
    </w:pPr>
    <w:rPr>
      <w:b/>
      <w:bCs/>
      <w:sz w:val="20"/>
      <w:szCs w:val="20"/>
    </w:rPr>
  </w:style>
  <w:style w:type="paragraph" w:styleId="Closing">
    <w:name w:val="Closing"/>
    <w:basedOn w:val="Normal"/>
    <w:link w:val="ClosingChar"/>
    <w:uiPriority w:val="99"/>
    <w:rsid w:val="007D0393"/>
    <w:pPr>
      <w:ind w:left="4320"/>
    </w:pPr>
  </w:style>
  <w:style w:type="character" w:customStyle="1" w:styleId="ClosingChar">
    <w:name w:val="Closing Char"/>
    <w:basedOn w:val="DefaultParagraphFont"/>
    <w:link w:val="Closing"/>
    <w:uiPriority w:val="99"/>
    <w:semiHidden/>
    <w:locked/>
    <w:rsid w:val="002A21A2"/>
    <w:rPr>
      <w:rFonts w:cs="Times New Roman"/>
      <w:sz w:val="24"/>
    </w:rPr>
  </w:style>
  <w:style w:type="paragraph" w:styleId="Date">
    <w:name w:val="Date"/>
    <w:basedOn w:val="Normal"/>
    <w:next w:val="Normal"/>
    <w:link w:val="DateChar"/>
    <w:uiPriority w:val="99"/>
    <w:rsid w:val="007D0393"/>
  </w:style>
  <w:style w:type="character" w:customStyle="1" w:styleId="DateChar">
    <w:name w:val="Date Char"/>
    <w:basedOn w:val="DefaultParagraphFont"/>
    <w:link w:val="Date"/>
    <w:uiPriority w:val="99"/>
    <w:semiHidden/>
    <w:locked/>
    <w:rsid w:val="002A21A2"/>
    <w:rPr>
      <w:rFonts w:cs="Times New Roman"/>
      <w:sz w:val="24"/>
    </w:rPr>
  </w:style>
  <w:style w:type="paragraph" w:styleId="E-mailSignature">
    <w:name w:val="E-mail Signature"/>
    <w:basedOn w:val="Normal"/>
    <w:link w:val="E-mailSignatureChar"/>
    <w:uiPriority w:val="99"/>
    <w:rsid w:val="007D0393"/>
  </w:style>
  <w:style w:type="character" w:customStyle="1" w:styleId="E-mailSignatureChar">
    <w:name w:val="E-mail Signature Char"/>
    <w:basedOn w:val="DefaultParagraphFont"/>
    <w:link w:val="E-mailSignature"/>
    <w:uiPriority w:val="99"/>
    <w:semiHidden/>
    <w:locked/>
    <w:rsid w:val="002A21A2"/>
    <w:rPr>
      <w:rFonts w:cs="Times New Roman"/>
      <w:sz w:val="24"/>
    </w:rPr>
  </w:style>
  <w:style w:type="paragraph" w:styleId="EndnoteText">
    <w:name w:val="endnote text"/>
    <w:basedOn w:val="Normal"/>
    <w:link w:val="EndnoteTextChar"/>
    <w:uiPriority w:val="99"/>
    <w:semiHidden/>
    <w:rsid w:val="007D0393"/>
    <w:rPr>
      <w:sz w:val="20"/>
      <w:szCs w:val="20"/>
    </w:rPr>
  </w:style>
  <w:style w:type="character" w:customStyle="1" w:styleId="EndnoteTextChar">
    <w:name w:val="Endnote Text Char"/>
    <w:basedOn w:val="DefaultParagraphFont"/>
    <w:link w:val="EndnoteText"/>
    <w:uiPriority w:val="99"/>
    <w:semiHidden/>
    <w:locked/>
    <w:rsid w:val="002A21A2"/>
    <w:rPr>
      <w:rFonts w:cs="Times New Roman"/>
      <w:sz w:val="20"/>
    </w:rPr>
  </w:style>
  <w:style w:type="paragraph" w:styleId="EnvelopeAddress">
    <w:name w:val="envelope address"/>
    <w:basedOn w:val="Normal"/>
    <w:uiPriority w:val="99"/>
    <w:rsid w:val="007D0393"/>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7D0393"/>
    <w:rPr>
      <w:rFonts w:ascii="Arial" w:hAnsi="Arial" w:cs="Arial"/>
      <w:sz w:val="20"/>
      <w:szCs w:val="20"/>
    </w:rPr>
  </w:style>
  <w:style w:type="paragraph" w:styleId="HTMLAddress">
    <w:name w:val="HTML Address"/>
    <w:basedOn w:val="Normal"/>
    <w:link w:val="HTMLAddressChar"/>
    <w:uiPriority w:val="99"/>
    <w:rsid w:val="007D0393"/>
    <w:rPr>
      <w:i/>
      <w:iCs/>
    </w:rPr>
  </w:style>
  <w:style w:type="character" w:customStyle="1" w:styleId="HTMLAddressChar">
    <w:name w:val="HTML Address Char"/>
    <w:basedOn w:val="DefaultParagraphFont"/>
    <w:link w:val="HTMLAddress"/>
    <w:uiPriority w:val="99"/>
    <w:semiHidden/>
    <w:locked/>
    <w:rsid w:val="002A21A2"/>
    <w:rPr>
      <w:rFonts w:cs="Times New Roman"/>
      <w:i/>
      <w:sz w:val="24"/>
    </w:rPr>
  </w:style>
  <w:style w:type="paragraph" w:styleId="HTMLPreformatted">
    <w:name w:val="HTML Preformatted"/>
    <w:basedOn w:val="Normal"/>
    <w:link w:val="HTMLPreformattedChar"/>
    <w:uiPriority w:val="99"/>
    <w:rsid w:val="007D0393"/>
    <w:rPr>
      <w:rFonts w:ascii="Courier New" w:hAnsi="Courier New"/>
      <w:sz w:val="20"/>
      <w:szCs w:val="20"/>
    </w:rPr>
  </w:style>
  <w:style w:type="character" w:customStyle="1" w:styleId="HTMLPreformattedChar">
    <w:name w:val="HTML Preformatted Char"/>
    <w:basedOn w:val="DefaultParagraphFont"/>
    <w:link w:val="HTMLPreformatted"/>
    <w:uiPriority w:val="99"/>
    <w:semiHidden/>
    <w:locked/>
    <w:rsid w:val="002A21A2"/>
    <w:rPr>
      <w:rFonts w:ascii="Courier New" w:hAnsi="Courier New" w:cs="Times New Roman"/>
      <w:sz w:val="20"/>
    </w:rPr>
  </w:style>
  <w:style w:type="paragraph" w:styleId="Index1">
    <w:name w:val="index 1"/>
    <w:basedOn w:val="Normal"/>
    <w:next w:val="Normal"/>
    <w:autoRedefine/>
    <w:uiPriority w:val="99"/>
    <w:semiHidden/>
    <w:rsid w:val="007D0393"/>
    <w:pPr>
      <w:ind w:left="240" w:hanging="240"/>
    </w:pPr>
  </w:style>
  <w:style w:type="paragraph" w:styleId="Index2">
    <w:name w:val="index 2"/>
    <w:basedOn w:val="Normal"/>
    <w:next w:val="Normal"/>
    <w:autoRedefine/>
    <w:uiPriority w:val="99"/>
    <w:semiHidden/>
    <w:rsid w:val="007D0393"/>
    <w:pPr>
      <w:ind w:left="480" w:hanging="240"/>
    </w:pPr>
  </w:style>
  <w:style w:type="paragraph" w:styleId="Index3">
    <w:name w:val="index 3"/>
    <w:basedOn w:val="Normal"/>
    <w:next w:val="Normal"/>
    <w:autoRedefine/>
    <w:uiPriority w:val="99"/>
    <w:semiHidden/>
    <w:rsid w:val="007D0393"/>
    <w:pPr>
      <w:ind w:left="720" w:hanging="240"/>
    </w:pPr>
  </w:style>
  <w:style w:type="paragraph" w:styleId="Index4">
    <w:name w:val="index 4"/>
    <w:basedOn w:val="Normal"/>
    <w:next w:val="Normal"/>
    <w:autoRedefine/>
    <w:uiPriority w:val="99"/>
    <w:semiHidden/>
    <w:rsid w:val="007D0393"/>
    <w:pPr>
      <w:ind w:left="960" w:hanging="240"/>
    </w:pPr>
  </w:style>
  <w:style w:type="paragraph" w:styleId="Index5">
    <w:name w:val="index 5"/>
    <w:basedOn w:val="Normal"/>
    <w:next w:val="Normal"/>
    <w:autoRedefine/>
    <w:uiPriority w:val="99"/>
    <w:semiHidden/>
    <w:rsid w:val="007D0393"/>
    <w:pPr>
      <w:ind w:left="1200" w:hanging="240"/>
    </w:pPr>
  </w:style>
  <w:style w:type="paragraph" w:styleId="Index6">
    <w:name w:val="index 6"/>
    <w:basedOn w:val="Normal"/>
    <w:next w:val="Normal"/>
    <w:autoRedefine/>
    <w:uiPriority w:val="99"/>
    <w:semiHidden/>
    <w:rsid w:val="007D0393"/>
    <w:pPr>
      <w:ind w:left="1440" w:hanging="240"/>
    </w:pPr>
  </w:style>
  <w:style w:type="paragraph" w:styleId="Index7">
    <w:name w:val="index 7"/>
    <w:basedOn w:val="Normal"/>
    <w:next w:val="Normal"/>
    <w:autoRedefine/>
    <w:uiPriority w:val="99"/>
    <w:semiHidden/>
    <w:rsid w:val="007D0393"/>
    <w:pPr>
      <w:ind w:left="1680" w:hanging="240"/>
    </w:pPr>
  </w:style>
  <w:style w:type="paragraph" w:styleId="Index8">
    <w:name w:val="index 8"/>
    <w:basedOn w:val="Normal"/>
    <w:next w:val="Normal"/>
    <w:autoRedefine/>
    <w:uiPriority w:val="99"/>
    <w:semiHidden/>
    <w:rsid w:val="007D0393"/>
    <w:pPr>
      <w:ind w:left="1920" w:hanging="240"/>
    </w:pPr>
  </w:style>
  <w:style w:type="paragraph" w:styleId="Index9">
    <w:name w:val="index 9"/>
    <w:basedOn w:val="Normal"/>
    <w:next w:val="Normal"/>
    <w:autoRedefine/>
    <w:uiPriority w:val="99"/>
    <w:semiHidden/>
    <w:rsid w:val="007D0393"/>
    <w:pPr>
      <w:ind w:left="2160" w:hanging="240"/>
    </w:pPr>
  </w:style>
  <w:style w:type="paragraph" w:styleId="IndexHeading">
    <w:name w:val="index heading"/>
    <w:basedOn w:val="Normal"/>
    <w:next w:val="Index1"/>
    <w:uiPriority w:val="99"/>
    <w:semiHidden/>
    <w:rsid w:val="007D0393"/>
    <w:rPr>
      <w:rFonts w:ascii="Arial" w:hAnsi="Arial" w:cs="Arial"/>
      <w:b/>
      <w:bCs/>
    </w:rPr>
  </w:style>
  <w:style w:type="paragraph" w:styleId="List">
    <w:name w:val="List"/>
    <w:basedOn w:val="Normal"/>
    <w:uiPriority w:val="99"/>
    <w:rsid w:val="007D0393"/>
    <w:pPr>
      <w:ind w:left="360" w:hanging="360"/>
    </w:pPr>
  </w:style>
  <w:style w:type="paragraph" w:styleId="List2">
    <w:name w:val="List 2"/>
    <w:basedOn w:val="Normal"/>
    <w:uiPriority w:val="99"/>
    <w:rsid w:val="007D0393"/>
    <w:pPr>
      <w:ind w:left="720" w:hanging="360"/>
    </w:pPr>
  </w:style>
  <w:style w:type="paragraph" w:styleId="List3">
    <w:name w:val="List 3"/>
    <w:basedOn w:val="Normal"/>
    <w:uiPriority w:val="99"/>
    <w:rsid w:val="007D0393"/>
    <w:pPr>
      <w:ind w:left="1080" w:hanging="360"/>
    </w:pPr>
  </w:style>
  <w:style w:type="paragraph" w:styleId="List4">
    <w:name w:val="List 4"/>
    <w:basedOn w:val="Normal"/>
    <w:uiPriority w:val="99"/>
    <w:rsid w:val="007D0393"/>
    <w:pPr>
      <w:ind w:left="1440" w:hanging="360"/>
    </w:pPr>
  </w:style>
  <w:style w:type="paragraph" w:styleId="List5">
    <w:name w:val="List 5"/>
    <w:basedOn w:val="Normal"/>
    <w:uiPriority w:val="99"/>
    <w:rsid w:val="007D0393"/>
    <w:pPr>
      <w:ind w:left="1800" w:hanging="360"/>
    </w:pPr>
  </w:style>
  <w:style w:type="paragraph" w:styleId="ListBullet">
    <w:name w:val="List Bullet"/>
    <w:basedOn w:val="Normal"/>
    <w:autoRedefine/>
    <w:uiPriority w:val="99"/>
    <w:rsid w:val="007D0393"/>
    <w:pPr>
      <w:tabs>
        <w:tab w:val="num" w:pos="360"/>
      </w:tabs>
      <w:ind w:left="360" w:hanging="360"/>
    </w:pPr>
  </w:style>
  <w:style w:type="paragraph" w:styleId="ListBullet2">
    <w:name w:val="List Bullet 2"/>
    <w:basedOn w:val="Normal"/>
    <w:autoRedefine/>
    <w:uiPriority w:val="99"/>
    <w:rsid w:val="007D0393"/>
    <w:pPr>
      <w:tabs>
        <w:tab w:val="num" w:pos="720"/>
      </w:tabs>
      <w:ind w:left="720" w:hanging="360"/>
    </w:pPr>
  </w:style>
  <w:style w:type="paragraph" w:styleId="ListBullet3">
    <w:name w:val="List Bullet 3"/>
    <w:basedOn w:val="Normal"/>
    <w:autoRedefine/>
    <w:uiPriority w:val="99"/>
    <w:rsid w:val="007D0393"/>
    <w:pPr>
      <w:tabs>
        <w:tab w:val="num" w:pos="1080"/>
      </w:tabs>
      <w:ind w:left="1080" w:hanging="360"/>
    </w:pPr>
  </w:style>
  <w:style w:type="paragraph" w:styleId="ListBullet4">
    <w:name w:val="List Bullet 4"/>
    <w:basedOn w:val="Normal"/>
    <w:autoRedefine/>
    <w:uiPriority w:val="99"/>
    <w:rsid w:val="007D0393"/>
    <w:pPr>
      <w:tabs>
        <w:tab w:val="num" w:pos="1440"/>
      </w:tabs>
      <w:ind w:left="1440" w:hanging="360"/>
    </w:pPr>
  </w:style>
  <w:style w:type="paragraph" w:styleId="ListBullet5">
    <w:name w:val="List Bullet 5"/>
    <w:basedOn w:val="Normal"/>
    <w:autoRedefine/>
    <w:uiPriority w:val="99"/>
    <w:rsid w:val="007D0393"/>
    <w:pPr>
      <w:tabs>
        <w:tab w:val="num" w:pos="1800"/>
      </w:tabs>
      <w:ind w:left="1800" w:hanging="360"/>
    </w:pPr>
  </w:style>
  <w:style w:type="paragraph" w:styleId="ListContinue">
    <w:name w:val="List Continue"/>
    <w:basedOn w:val="Normal"/>
    <w:uiPriority w:val="99"/>
    <w:rsid w:val="007D0393"/>
    <w:pPr>
      <w:spacing w:after="120"/>
      <w:ind w:left="360"/>
    </w:pPr>
  </w:style>
  <w:style w:type="paragraph" w:styleId="ListContinue2">
    <w:name w:val="List Continue 2"/>
    <w:basedOn w:val="Normal"/>
    <w:uiPriority w:val="99"/>
    <w:rsid w:val="007D0393"/>
    <w:pPr>
      <w:spacing w:after="120"/>
      <w:ind w:left="720"/>
    </w:pPr>
  </w:style>
  <w:style w:type="paragraph" w:styleId="ListContinue3">
    <w:name w:val="List Continue 3"/>
    <w:basedOn w:val="Normal"/>
    <w:uiPriority w:val="99"/>
    <w:rsid w:val="007D0393"/>
    <w:pPr>
      <w:spacing w:after="120"/>
      <w:ind w:left="1080"/>
    </w:pPr>
  </w:style>
  <w:style w:type="paragraph" w:styleId="ListContinue4">
    <w:name w:val="List Continue 4"/>
    <w:basedOn w:val="Normal"/>
    <w:uiPriority w:val="99"/>
    <w:rsid w:val="007D0393"/>
    <w:pPr>
      <w:spacing w:after="120"/>
      <w:ind w:left="1440"/>
    </w:pPr>
  </w:style>
  <w:style w:type="paragraph" w:styleId="ListContinue5">
    <w:name w:val="List Continue 5"/>
    <w:basedOn w:val="Normal"/>
    <w:uiPriority w:val="99"/>
    <w:rsid w:val="007D0393"/>
    <w:pPr>
      <w:spacing w:after="120"/>
      <w:ind w:left="1800"/>
    </w:pPr>
  </w:style>
  <w:style w:type="paragraph" w:styleId="ListNumber">
    <w:name w:val="List Number"/>
    <w:basedOn w:val="Normal"/>
    <w:uiPriority w:val="99"/>
    <w:rsid w:val="007D0393"/>
    <w:pPr>
      <w:tabs>
        <w:tab w:val="num" w:pos="360"/>
      </w:tabs>
      <w:ind w:left="360" w:hanging="360"/>
    </w:pPr>
  </w:style>
  <w:style w:type="paragraph" w:styleId="ListNumber2">
    <w:name w:val="List Number 2"/>
    <w:basedOn w:val="Normal"/>
    <w:uiPriority w:val="99"/>
    <w:rsid w:val="007D0393"/>
    <w:pPr>
      <w:tabs>
        <w:tab w:val="num" w:pos="720"/>
      </w:tabs>
      <w:ind w:left="720" w:hanging="360"/>
    </w:pPr>
  </w:style>
  <w:style w:type="paragraph" w:styleId="ListNumber3">
    <w:name w:val="List Number 3"/>
    <w:basedOn w:val="Normal"/>
    <w:uiPriority w:val="99"/>
    <w:rsid w:val="007D0393"/>
    <w:pPr>
      <w:tabs>
        <w:tab w:val="num" w:pos="1080"/>
      </w:tabs>
      <w:ind w:left="1080" w:hanging="360"/>
    </w:pPr>
  </w:style>
  <w:style w:type="paragraph" w:styleId="ListNumber4">
    <w:name w:val="List Number 4"/>
    <w:basedOn w:val="Normal"/>
    <w:uiPriority w:val="99"/>
    <w:rsid w:val="007D0393"/>
    <w:pPr>
      <w:tabs>
        <w:tab w:val="num" w:pos="1440"/>
      </w:tabs>
      <w:ind w:left="1440" w:hanging="360"/>
    </w:pPr>
  </w:style>
  <w:style w:type="paragraph" w:styleId="ListNumber5">
    <w:name w:val="List Number 5"/>
    <w:basedOn w:val="Normal"/>
    <w:uiPriority w:val="99"/>
    <w:rsid w:val="007D0393"/>
    <w:pPr>
      <w:tabs>
        <w:tab w:val="num" w:pos="1800"/>
      </w:tabs>
      <w:ind w:left="1800" w:hanging="360"/>
    </w:pPr>
  </w:style>
  <w:style w:type="paragraph" w:styleId="MacroText">
    <w:name w:val="macro"/>
    <w:link w:val="MacroTextChar"/>
    <w:uiPriority w:val="99"/>
    <w:semiHidden/>
    <w:rsid w:val="007D0393"/>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sid w:val="002A21A2"/>
    <w:rPr>
      <w:rFonts w:ascii="Courier New" w:hAnsi="Courier New" w:cs="Courier New"/>
      <w:lang w:val="en-US" w:eastAsia="en-US" w:bidi="ar-SA"/>
    </w:rPr>
  </w:style>
  <w:style w:type="paragraph" w:styleId="MessageHeader">
    <w:name w:val="Message Header"/>
    <w:basedOn w:val="Normal"/>
    <w:link w:val="MessageHeaderChar"/>
    <w:uiPriority w:val="99"/>
    <w:rsid w:val="007D039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uiPriority w:val="99"/>
    <w:semiHidden/>
    <w:locked/>
    <w:rsid w:val="002A21A2"/>
    <w:rPr>
      <w:rFonts w:ascii="Cambria" w:hAnsi="Cambria" w:cs="Times New Roman"/>
      <w:sz w:val="24"/>
      <w:shd w:val="pct20" w:color="auto" w:fill="auto"/>
    </w:rPr>
  </w:style>
  <w:style w:type="paragraph" w:styleId="NormalWeb">
    <w:name w:val="Normal (Web)"/>
    <w:basedOn w:val="Normal"/>
    <w:uiPriority w:val="99"/>
    <w:rsid w:val="007D0393"/>
  </w:style>
  <w:style w:type="paragraph" w:styleId="NormalIndent">
    <w:name w:val="Normal Indent"/>
    <w:basedOn w:val="Normal"/>
    <w:uiPriority w:val="99"/>
    <w:rsid w:val="007D0393"/>
    <w:pPr>
      <w:ind w:left="720"/>
    </w:pPr>
  </w:style>
  <w:style w:type="paragraph" w:styleId="NoteHeading">
    <w:name w:val="Note Heading"/>
    <w:basedOn w:val="Normal"/>
    <w:next w:val="Normal"/>
    <w:link w:val="NoteHeadingChar"/>
    <w:uiPriority w:val="99"/>
    <w:rsid w:val="007D0393"/>
  </w:style>
  <w:style w:type="character" w:customStyle="1" w:styleId="NoteHeadingChar">
    <w:name w:val="Note Heading Char"/>
    <w:basedOn w:val="DefaultParagraphFont"/>
    <w:link w:val="NoteHeading"/>
    <w:uiPriority w:val="99"/>
    <w:semiHidden/>
    <w:locked/>
    <w:rsid w:val="002A21A2"/>
    <w:rPr>
      <w:rFonts w:cs="Times New Roman"/>
      <w:sz w:val="24"/>
    </w:rPr>
  </w:style>
  <w:style w:type="paragraph" w:styleId="PlainText">
    <w:name w:val="Plain Text"/>
    <w:basedOn w:val="Normal"/>
    <w:link w:val="PlainTextChar"/>
    <w:uiPriority w:val="99"/>
    <w:rsid w:val="007D0393"/>
    <w:rPr>
      <w:rFonts w:ascii="Courier New" w:hAnsi="Courier New"/>
      <w:sz w:val="20"/>
      <w:szCs w:val="20"/>
    </w:rPr>
  </w:style>
  <w:style w:type="character" w:customStyle="1" w:styleId="PlainTextChar">
    <w:name w:val="Plain Text Char"/>
    <w:basedOn w:val="DefaultParagraphFont"/>
    <w:link w:val="PlainText"/>
    <w:uiPriority w:val="99"/>
    <w:locked/>
    <w:rsid w:val="00527F14"/>
    <w:rPr>
      <w:rFonts w:ascii="Courier New" w:hAnsi="Courier New" w:cs="Times New Roman"/>
    </w:rPr>
  </w:style>
  <w:style w:type="paragraph" w:styleId="Salutation">
    <w:name w:val="Salutation"/>
    <w:basedOn w:val="Normal"/>
    <w:next w:val="Normal"/>
    <w:link w:val="SalutationChar"/>
    <w:uiPriority w:val="99"/>
    <w:rsid w:val="007D0393"/>
  </w:style>
  <w:style w:type="character" w:customStyle="1" w:styleId="SalutationChar">
    <w:name w:val="Salutation Char"/>
    <w:basedOn w:val="DefaultParagraphFont"/>
    <w:link w:val="Salutation"/>
    <w:uiPriority w:val="99"/>
    <w:semiHidden/>
    <w:locked/>
    <w:rsid w:val="002A21A2"/>
    <w:rPr>
      <w:rFonts w:cs="Times New Roman"/>
      <w:sz w:val="24"/>
    </w:rPr>
  </w:style>
  <w:style w:type="paragraph" w:styleId="Signature">
    <w:name w:val="Signature"/>
    <w:basedOn w:val="Normal"/>
    <w:link w:val="SignatureChar"/>
    <w:uiPriority w:val="99"/>
    <w:rsid w:val="007D0393"/>
    <w:pPr>
      <w:ind w:left="4320"/>
    </w:pPr>
  </w:style>
  <w:style w:type="character" w:customStyle="1" w:styleId="SignatureChar">
    <w:name w:val="Signature Char"/>
    <w:basedOn w:val="DefaultParagraphFont"/>
    <w:link w:val="Signature"/>
    <w:uiPriority w:val="99"/>
    <w:semiHidden/>
    <w:locked/>
    <w:rsid w:val="002A21A2"/>
    <w:rPr>
      <w:rFonts w:cs="Times New Roman"/>
      <w:sz w:val="24"/>
    </w:rPr>
  </w:style>
  <w:style w:type="paragraph" w:styleId="Subtitle">
    <w:name w:val="Subtitle"/>
    <w:basedOn w:val="Normal"/>
    <w:link w:val="SubtitleChar"/>
    <w:uiPriority w:val="99"/>
    <w:qFormat/>
    <w:rsid w:val="007D0393"/>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2A21A2"/>
    <w:rPr>
      <w:rFonts w:ascii="Cambria" w:hAnsi="Cambria" w:cs="Times New Roman"/>
      <w:sz w:val="24"/>
    </w:rPr>
  </w:style>
  <w:style w:type="paragraph" w:styleId="TableofAuthorities">
    <w:name w:val="table of authorities"/>
    <w:basedOn w:val="Normal"/>
    <w:next w:val="Normal"/>
    <w:uiPriority w:val="99"/>
    <w:semiHidden/>
    <w:rsid w:val="007D0393"/>
    <w:pPr>
      <w:ind w:left="240" w:hanging="240"/>
    </w:pPr>
  </w:style>
  <w:style w:type="paragraph" w:styleId="TableofFigures">
    <w:name w:val="table of figures"/>
    <w:basedOn w:val="Normal"/>
    <w:next w:val="Normal"/>
    <w:uiPriority w:val="99"/>
    <w:semiHidden/>
    <w:rsid w:val="007D0393"/>
    <w:pPr>
      <w:ind w:left="480" w:hanging="480"/>
    </w:pPr>
  </w:style>
  <w:style w:type="paragraph" w:styleId="TOAHeading">
    <w:name w:val="toa heading"/>
    <w:basedOn w:val="Normal"/>
    <w:next w:val="Normal"/>
    <w:uiPriority w:val="99"/>
    <w:semiHidden/>
    <w:rsid w:val="007D0393"/>
    <w:pPr>
      <w:spacing w:before="120"/>
    </w:pPr>
    <w:rPr>
      <w:rFonts w:ascii="Arial" w:hAnsi="Arial" w:cs="Arial"/>
      <w:b/>
      <w:bCs/>
    </w:rPr>
  </w:style>
  <w:style w:type="paragraph" w:styleId="BalloonText">
    <w:name w:val="Balloon Text"/>
    <w:basedOn w:val="Normal"/>
    <w:link w:val="BalloonTextChar"/>
    <w:uiPriority w:val="99"/>
    <w:semiHidden/>
    <w:rsid w:val="002F642E"/>
    <w:rPr>
      <w:sz w:val="18"/>
      <w:szCs w:val="20"/>
    </w:rPr>
  </w:style>
  <w:style w:type="character" w:customStyle="1" w:styleId="BalloonTextChar">
    <w:name w:val="Balloon Text Char"/>
    <w:basedOn w:val="DefaultParagraphFont"/>
    <w:link w:val="BalloonText"/>
    <w:uiPriority w:val="99"/>
    <w:semiHidden/>
    <w:locked/>
    <w:rsid w:val="002F642E"/>
    <w:rPr>
      <w:rFonts w:cs="Times New Roman"/>
      <w:sz w:val="18"/>
    </w:rPr>
  </w:style>
  <w:style w:type="table" w:styleId="TableGrid">
    <w:name w:val="Table Grid"/>
    <w:basedOn w:val="TableNormal"/>
    <w:uiPriority w:val="39"/>
    <w:rsid w:val="00B525B5"/>
    <w:pPr>
      <w:spacing w:after="24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0736"/>
    <w:pPr>
      <w:widowControl w:val="0"/>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rsid w:val="004B6C9B"/>
    <w:rPr>
      <w:b/>
      <w:bCs/>
    </w:rPr>
  </w:style>
  <w:style w:type="character" w:customStyle="1" w:styleId="CommentSubjectChar">
    <w:name w:val="Comment Subject Char"/>
    <w:basedOn w:val="CommentTextChar"/>
    <w:link w:val="CommentSubject"/>
    <w:uiPriority w:val="99"/>
    <w:semiHidden/>
    <w:locked/>
    <w:rsid w:val="002A21A2"/>
    <w:rPr>
      <w:rFonts w:cs="Times New Roman"/>
      <w:b/>
      <w:sz w:val="20"/>
    </w:rPr>
  </w:style>
  <w:style w:type="paragraph" w:styleId="ListParagraph">
    <w:name w:val="List Paragraph"/>
    <w:basedOn w:val="Normal"/>
    <w:uiPriority w:val="34"/>
    <w:qFormat/>
    <w:rsid w:val="004047F7"/>
    <w:pPr>
      <w:ind w:left="720"/>
      <w:contextualSpacing/>
    </w:pPr>
  </w:style>
  <w:style w:type="paragraph" w:styleId="Revision">
    <w:name w:val="Revision"/>
    <w:hidden/>
    <w:uiPriority w:val="99"/>
    <w:semiHidden/>
    <w:rsid w:val="009C107C"/>
    <w:rPr>
      <w:sz w:val="24"/>
      <w:szCs w:val="24"/>
    </w:rPr>
  </w:style>
  <w:style w:type="paragraph" w:customStyle="1" w:styleId="Style1">
    <w:name w:val="Style1"/>
    <w:basedOn w:val="CommentText"/>
    <w:link w:val="Style1Char"/>
    <w:uiPriority w:val="99"/>
    <w:rsid w:val="00FB7988"/>
    <w:rPr>
      <w:sz w:val="24"/>
      <w:szCs w:val="24"/>
    </w:rPr>
  </w:style>
  <w:style w:type="character" w:customStyle="1" w:styleId="Style1Char">
    <w:name w:val="Style1 Char"/>
    <w:basedOn w:val="CommentTextChar"/>
    <w:link w:val="Style1"/>
    <w:uiPriority w:val="99"/>
    <w:locked/>
    <w:rsid w:val="00FB7988"/>
    <w:rPr>
      <w:rFonts w:cs="Times New Roman"/>
      <w:sz w:val="24"/>
      <w:szCs w:val="24"/>
    </w:rPr>
  </w:style>
  <w:style w:type="character" w:styleId="FollowedHyperlink">
    <w:name w:val="FollowedHyperlink"/>
    <w:basedOn w:val="DefaultParagraphFont"/>
    <w:uiPriority w:val="99"/>
    <w:semiHidden/>
    <w:unhideWhenUsed/>
    <w:locked/>
    <w:rsid w:val="005D60AF"/>
    <w:rPr>
      <w:color w:val="800080" w:themeColor="followedHyperlink"/>
      <w:u w:val="single"/>
    </w:rPr>
  </w:style>
  <w:style w:type="paragraph" w:styleId="NoSpacing">
    <w:name w:val="No Spacing"/>
    <w:uiPriority w:val="1"/>
    <w:qFormat/>
    <w:rsid w:val="009D664B"/>
    <w:rPr>
      <w:rFonts w:asciiTheme="minorHAnsi" w:eastAsiaTheme="minorHAnsi" w:hAnsiTheme="minorHAnsi" w:cstheme="minorBidi"/>
    </w:rPr>
  </w:style>
  <w:style w:type="table" w:styleId="GridTable1Light">
    <w:name w:val="Grid Table 1 Light"/>
    <w:basedOn w:val="TableNormal"/>
    <w:uiPriority w:val="46"/>
    <w:rsid w:val="0097232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DA5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3889">
      <w:bodyDiv w:val="1"/>
      <w:marLeft w:val="0"/>
      <w:marRight w:val="0"/>
      <w:marTop w:val="0"/>
      <w:marBottom w:val="0"/>
      <w:divBdr>
        <w:top w:val="none" w:sz="0" w:space="0" w:color="auto"/>
        <w:left w:val="none" w:sz="0" w:space="0" w:color="auto"/>
        <w:bottom w:val="none" w:sz="0" w:space="0" w:color="auto"/>
        <w:right w:val="none" w:sz="0" w:space="0" w:color="auto"/>
      </w:divBdr>
    </w:div>
    <w:div w:id="1297829644">
      <w:bodyDiv w:val="1"/>
      <w:marLeft w:val="0"/>
      <w:marRight w:val="0"/>
      <w:marTop w:val="0"/>
      <w:marBottom w:val="0"/>
      <w:divBdr>
        <w:top w:val="none" w:sz="0" w:space="0" w:color="auto"/>
        <w:left w:val="none" w:sz="0" w:space="0" w:color="auto"/>
        <w:bottom w:val="none" w:sz="0" w:space="0" w:color="auto"/>
        <w:right w:val="none" w:sz="0" w:space="0" w:color="auto"/>
      </w:divBdr>
    </w:div>
    <w:div w:id="1369917648">
      <w:bodyDiv w:val="1"/>
      <w:marLeft w:val="0"/>
      <w:marRight w:val="0"/>
      <w:marTop w:val="0"/>
      <w:marBottom w:val="0"/>
      <w:divBdr>
        <w:top w:val="none" w:sz="0" w:space="0" w:color="auto"/>
        <w:left w:val="none" w:sz="0" w:space="0" w:color="auto"/>
        <w:bottom w:val="none" w:sz="0" w:space="0" w:color="auto"/>
        <w:right w:val="none" w:sz="0" w:space="0" w:color="auto"/>
      </w:divBdr>
    </w:div>
    <w:div w:id="1505054134">
      <w:bodyDiv w:val="1"/>
      <w:marLeft w:val="0"/>
      <w:marRight w:val="0"/>
      <w:marTop w:val="0"/>
      <w:marBottom w:val="0"/>
      <w:divBdr>
        <w:top w:val="none" w:sz="0" w:space="0" w:color="auto"/>
        <w:left w:val="none" w:sz="0" w:space="0" w:color="auto"/>
        <w:bottom w:val="none" w:sz="0" w:space="0" w:color="auto"/>
        <w:right w:val="none" w:sz="0" w:space="0" w:color="auto"/>
      </w:divBdr>
    </w:div>
    <w:div w:id="1596329921">
      <w:bodyDiv w:val="1"/>
      <w:marLeft w:val="0"/>
      <w:marRight w:val="0"/>
      <w:marTop w:val="0"/>
      <w:marBottom w:val="0"/>
      <w:divBdr>
        <w:top w:val="none" w:sz="0" w:space="0" w:color="auto"/>
        <w:left w:val="none" w:sz="0" w:space="0" w:color="auto"/>
        <w:bottom w:val="none" w:sz="0" w:space="0" w:color="auto"/>
        <w:right w:val="none" w:sz="0" w:space="0" w:color="auto"/>
      </w:divBdr>
    </w:div>
    <w:div w:id="1638602911">
      <w:marLeft w:val="0"/>
      <w:marRight w:val="0"/>
      <w:marTop w:val="0"/>
      <w:marBottom w:val="0"/>
      <w:divBdr>
        <w:top w:val="none" w:sz="0" w:space="0" w:color="auto"/>
        <w:left w:val="none" w:sz="0" w:space="0" w:color="auto"/>
        <w:bottom w:val="none" w:sz="0" w:space="0" w:color="auto"/>
        <w:right w:val="none" w:sz="0" w:space="0" w:color="auto"/>
      </w:divBdr>
    </w:div>
    <w:div w:id="1638602912">
      <w:marLeft w:val="0"/>
      <w:marRight w:val="0"/>
      <w:marTop w:val="0"/>
      <w:marBottom w:val="0"/>
      <w:divBdr>
        <w:top w:val="none" w:sz="0" w:space="0" w:color="auto"/>
        <w:left w:val="none" w:sz="0" w:space="0" w:color="auto"/>
        <w:bottom w:val="none" w:sz="0" w:space="0" w:color="auto"/>
        <w:right w:val="none" w:sz="0" w:space="0" w:color="auto"/>
      </w:divBdr>
    </w:div>
    <w:div w:id="1638602913">
      <w:marLeft w:val="0"/>
      <w:marRight w:val="0"/>
      <w:marTop w:val="0"/>
      <w:marBottom w:val="0"/>
      <w:divBdr>
        <w:top w:val="none" w:sz="0" w:space="0" w:color="auto"/>
        <w:left w:val="none" w:sz="0" w:space="0" w:color="auto"/>
        <w:bottom w:val="none" w:sz="0" w:space="0" w:color="auto"/>
        <w:right w:val="none" w:sz="0" w:space="0" w:color="auto"/>
      </w:divBdr>
    </w:div>
    <w:div w:id="1638602914">
      <w:marLeft w:val="0"/>
      <w:marRight w:val="0"/>
      <w:marTop w:val="0"/>
      <w:marBottom w:val="0"/>
      <w:divBdr>
        <w:top w:val="none" w:sz="0" w:space="0" w:color="auto"/>
        <w:left w:val="none" w:sz="0" w:space="0" w:color="auto"/>
        <w:bottom w:val="none" w:sz="0" w:space="0" w:color="auto"/>
        <w:right w:val="none" w:sz="0" w:space="0" w:color="auto"/>
      </w:divBdr>
    </w:div>
    <w:div w:id="1638602915">
      <w:marLeft w:val="0"/>
      <w:marRight w:val="0"/>
      <w:marTop w:val="0"/>
      <w:marBottom w:val="0"/>
      <w:divBdr>
        <w:top w:val="none" w:sz="0" w:space="0" w:color="auto"/>
        <w:left w:val="none" w:sz="0" w:space="0" w:color="auto"/>
        <w:bottom w:val="none" w:sz="0" w:space="0" w:color="auto"/>
        <w:right w:val="none" w:sz="0" w:space="0" w:color="auto"/>
      </w:divBdr>
    </w:div>
    <w:div w:id="1638602916">
      <w:marLeft w:val="0"/>
      <w:marRight w:val="0"/>
      <w:marTop w:val="0"/>
      <w:marBottom w:val="0"/>
      <w:divBdr>
        <w:top w:val="none" w:sz="0" w:space="0" w:color="auto"/>
        <w:left w:val="none" w:sz="0" w:space="0" w:color="auto"/>
        <w:bottom w:val="none" w:sz="0" w:space="0" w:color="auto"/>
        <w:right w:val="none" w:sz="0" w:space="0" w:color="auto"/>
      </w:divBdr>
    </w:div>
    <w:div w:id="1638602917">
      <w:marLeft w:val="0"/>
      <w:marRight w:val="0"/>
      <w:marTop w:val="0"/>
      <w:marBottom w:val="0"/>
      <w:divBdr>
        <w:top w:val="none" w:sz="0" w:space="0" w:color="auto"/>
        <w:left w:val="none" w:sz="0" w:space="0" w:color="auto"/>
        <w:bottom w:val="none" w:sz="0" w:space="0" w:color="auto"/>
        <w:right w:val="none" w:sz="0" w:space="0" w:color="auto"/>
      </w:divBdr>
    </w:div>
    <w:div w:id="1638602918">
      <w:marLeft w:val="0"/>
      <w:marRight w:val="0"/>
      <w:marTop w:val="0"/>
      <w:marBottom w:val="0"/>
      <w:divBdr>
        <w:top w:val="none" w:sz="0" w:space="0" w:color="auto"/>
        <w:left w:val="none" w:sz="0" w:space="0" w:color="auto"/>
        <w:bottom w:val="none" w:sz="0" w:space="0" w:color="auto"/>
        <w:right w:val="none" w:sz="0" w:space="0" w:color="auto"/>
      </w:divBdr>
    </w:div>
    <w:div w:id="1638602919">
      <w:marLeft w:val="0"/>
      <w:marRight w:val="0"/>
      <w:marTop w:val="0"/>
      <w:marBottom w:val="0"/>
      <w:divBdr>
        <w:top w:val="none" w:sz="0" w:space="0" w:color="auto"/>
        <w:left w:val="none" w:sz="0" w:space="0" w:color="auto"/>
        <w:bottom w:val="none" w:sz="0" w:space="0" w:color="auto"/>
        <w:right w:val="none" w:sz="0" w:space="0" w:color="auto"/>
      </w:divBdr>
    </w:div>
    <w:div w:id="1925069513">
      <w:bodyDiv w:val="1"/>
      <w:marLeft w:val="0"/>
      <w:marRight w:val="0"/>
      <w:marTop w:val="0"/>
      <w:marBottom w:val="0"/>
      <w:divBdr>
        <w:top w:val="none" w:sz="0" w:space="0" w:color="auto"/>
        <w:left w:val="none" w:sz="0" w:space="0" w:color="auto"/>
        <w:bottom w:val="none" w:sz="0" w:space="0" w:color="auto"/>
        <w:right w:val="none" w:sz="0" w:space="0" w:color="auto"/>
      </w:divBdr>
    </w:div>
    <w:div w:id="198982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pc.org/smolt/Q_smolt_smoltgbt_subsite.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ology.wa.gov/Regulations-Permits/Laws-rules-rulemaking/Rulemaking/WAC173-201A-revisions" TargetMode="External"/><Relationship Id="rId1" Type="http://schemas.openxmlformats.org/officeDocument/2006/relationships/hyperlink" Target="http://www.nwd.usace.army.mil/Missions/Water/Columbia/Water-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A637EA-0F85-4DFF-A3A5-5AD12459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14</Pages>
  <Words>4951</Words>
  <Characters>26811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2003 Total Dissolved Gas Management Plan</vt:lpstr>
    </vt:vector>
  </TitlesOfParts>
  <Company>usace</Company>
  <LinksUpToDate>false</LinksUpToDate>
  <CharactersWithSpaces>31699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Total Dissolved Gas Management Plan</dc:title>
  <dc:creator>Laura Hamilton</dc:creator>
  <cp:lastModifiedBy>Turner, Daniel F CIV USARMY CENWD (USA)</cp:lastModifiedBy>
  <cp:revision>3</cp:revision>
  <cp:lastPrinted>2019-04-04T16:36:00Z</cp:lastPrinted>
  <dcterms:created xsi:type="dcterms:W3CDTF">2022-03-30T00:01:00Z</dcterms:created>
  <dcterms:modified xsi:type="dcterms:W3CDTF">2022-03-30T00:22:00Z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Laura Hamilton</vt:lpwstr>
  </property>
</Properties>
</file>